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sz w:val="24"/>
        </w:rPr>
      </w:pPr>
      <w:bookmarkStart w:id="0" w:name="_GoBack"/>
      <w:bookmarkEnd w:id="0"/>
      <w:r>
        <w:rPr>
          <w:rFonts w:hint="eastAsia" w:ascii="宋体" w:hAnsi="宋体" w:eastAsia="宋体" w:cs="宋体"/>
          <w:sz w:val="36"/>
          <w:szCs w:val="36"/>
        </w:rPr>
        <w:t>部门整体支出绩效评价指标评分表</w:t>
      </w:r>
    </w:p>
    <w:tbl>
      <w:tblPr>
        <w:tblStyle w:val="10"/>
        <w:tblpPr w:leftFromText="180" w:rightFromText="180" w:vertAnchor="text" w:horzAnchor="page" w:tblpX="1260" w:tblpY="1127"/>
        <w:tblOverlap w:val="never"/>
        <w:tblW w:w="10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456"/>
        <w:gridCol w:w="756"/>
        <w:gridCol w:w="516"/>
        <w:gridCol w:w="2460"/>
        <w:gridCol w:w="1470"/>
        <w:gridCol w:w="3450"/>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24"/>
              </w:rPr>
            </w:pPr>
            <w:r>
              <w:rPr>
                <w:sz w:val="24"/>
              </w:rPr>
              <w:t>一级指标</w:t>
            </w:r>
          </w:p>
        </w:tc>
        <w:tc>
          <w:tcPr>
            <w:tcW w:w="4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二级指标</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三级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指标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分值</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评价标准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指标说明</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投入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jc w:val="center"/>
              <w:textAlignment w:val="auto"/>
              <w:rPr>
                <w:sz w:val="18"/>
                <w:szCs w:val="18"/>
              </w:rPr>
            </w:pPr>
            <w:r>
              <w:rPr>
                <w:sz w:val="18"/>
                <w:szCs w:val="18"/>
              </w:rPr>
              <w:t>10分</w:t>
            </w: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目标设定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6分</w:t>
            </w:r>
          </w:p>
        </w:tc>
        <w:tc>
          <w:tcPr>
            <w:tcW w:w="756"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绩效目标合理性</w:t>
            </w:r>
          </w:p>
        </w:tc>
        <w:tc>
          <w:tcPr>
            <w:tcW w:w="516"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3</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部门所设立的整体绩效目标依据是否充分，是否客观实际，用以反映和考核部门整体绩效目标与部门履职、年度工作任务的相符性情况。</w:t>
            </w:r>
          </w:p>
        </w:tc>
        <w:tc>
          <w:tcPr>
            <w:tcW w:w="3450"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评价要点:</w:t>
            </w:r>
          </w:p>
          <w:p>
            <w:pPr>
              <w:keepNext w:val="0"/>
              <w:keepLines w:val="0"/>
              <w:pageBreakBefore w:val="0"/>
              <w:widowControl/>
              <w:kinsoku/>
              <w:wordWrap/>
              <w:overflowPunct/>
              <w:topLinePunct w:val="0"/>
              <w:autoSpaceDE/>
              <w:autoSpaceDN/>
              <w:bidi w:val="0"/>
              <w:adjustRightInd/>
              <w:snapToGrid/>
              <w:spacing w:line="360" w:lineRule="exact"/>
              <w:ind w:left="120"/>
              <w:textAlignment w:val="auto"/>
              <w:rPr>
                <w:sz w:val="18"/>
                <w:szCs w:val="18"/>
              </w:rPr>
            </w:pPr>
            <w:r>
              <w:rPr>
                <w:rFonts w:hint="eastAsia"/>
                <w:sz w:val="18"/>
                <w:szCs w:val="18"/>
              </w:rPr>
              <w:t>（1）是否符合国家法律法规、国民经济和社会发展总体规划；（2）是否符合部门三定方案确定的职责；(3)是否符合部门制定的中长期规划。</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p>
        </w:tc>
        <w:tc>
          <w:tcPr>
            <w:tcW w:w="756"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绩效指标明确性</w:t>
            </w:r>
          </w:p>
        </w:tc>
        <w:tc>
          <w:tcPr>
            <w:tcW w:w="516"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3</w:t>
            </w:r>
          </w:p>
        </w:tc>
        <w:tc>
          <w:tcPr>
            <w:tcW w:w="3930" w:type="dxa"/>
            <w:gridSpan w:val="2"/>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部门依据整体绩效目标所设定的绩效指标是否清晰、细化、可衡量，用以反映和考核部门整体绩效目标的明细化情况。</w:t>
            </w:r>
          </w:p>
        </w:tc>
        <w:tc>
          <w:tcPr>
            <w:tcW w:w="3450"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评价要点:</w:t>
            </w:r>
          </w:p>
          <w:p>
            <w:pPr>
              <w:keepNext w:val="0"/>
              <w:keepLines w:val="0"/>
              <w:pageBreakBefore w:val="0"/>
              <w:widowControl/>
              <w:kinsoku/>
              <w:wordWrap/>
              <w:overflowPunct/>
              <w:topLinePunct w:val="0"/>
              <w:autoSpaceDE/>
              <w:autoSpaceDN/>
              <w:bidi w:val="0"/>
              <w:adjustRightInd/>
              <w:snapToGrid/>
              <w:spacing w:line="360" w:lineRule="exact"/>
              <w:ind w:left="120"/>
              <w:textAlignment w:val="auto"/>
              <w:rPr>
                <w:sz w:val="18"/>
                <w:szCs w:val="18"/>
              </w:rPr>
            </w:pPr>
            <w:r>
              <w:rPr>
                <w:rFonts w:hint="eastAsia"/>
                <w:sz w:val="18"/>
                <w:szCs w:val="18"/>
              </w:rPr>
              <w:t>（1）是否将部门整体的绩效目标分解为具体的工作任务。(2)是否通过清晰、可衡量的指标值符予以体现。（3）是否与部门年度的任务数或计划数相对应。(4)是否与本年度预算资金相匹配。</w:t>
            </w:r>
          </w:p>
        </w:tc>
        <w:tc>
          <w:tcPr>
            <w:tcW w:w="691" w:type="dxa"/>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sz w:val="18"/>
                <w:szCs w:val="18"/>
              </w:rPr>
              <w:t>预算配置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4</w:t>
            </w:r>
            <w:r>
              <w:rPr>
                <w:sz w:val="18"/>
                <w:szCs w:val="18"/>
              </w:rPr>
              <w:t>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在职人员控制率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1</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以100%为标准。在职人员控制率</w:t>
            </w:r>
            <w:r>
              <w:rPr>
                <w:rFonts w:hint="eastAsia" w:ascii="宋体" w:hAnsi="宋体" w:cs="宋体"/>
                <w:sz w:val="18"/>
                <w:szCs w:val="18"/>
              </w:rPr>
              <w:t>≦</w:t>
            </w:r>
            <w:r>
              <w:rPr>
                <w:sz w:val="18"/>
                <w:szCs w:val="18"/>
              </w:rPr>
              <w:t>100%，计</w:t>
            </w:r>
            <w:r>
              <w:rPr>
                <w:rFonts w:hint="eastAsia"/>
                <w:sz w:val="18"/>
                <w:szCs w:val="18"/>
              </w:rPr>
              <w:t>2</w:t>
            </w:r>
            <w:r>
              <w:rPr>
                <w:sz w:val="18"/>
                <w:szCs w:val="18"/>
              </w:rPr>
              <w:t>分；每超过一个百分点扣0.5分，扣完为止。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color w:val="0000FF"/>
                <w:sz w:val="18"/>
                <w:szCs w:val="18"/>
              </w:rPr>
            </w:pPr>
            <w:r>
              <w:rPr>
                <w:color w:val="0000FF"/>
                <w:sz w:val="18"/>
                <w:szCs w:val="18"/>
              </w:rPr>
              <w:t>在职人员控制率=（在职人员数/编制数）×100%，在职人员数：部门（单位）实际在职人数，以财政局确定的部门决算编制口径为准。</w:t>
            </w:r>
            <w:r>
              <w:rPr>
                <w:color w:val="0000FF"/>
                <w:sz w:val="18"/>
                <w:szCs w:val="18"/>
              </w:rPr>
              <w:br w:type="textWrapping"/>
            </w:r>
            <w:r>
              <w:rPr>
                <w:color w:val="0000FF"/>
                <w:sz w:val="18"/>
                <w:szCs w:val="18"/>
              </w:rPr>
              <w:t>编制数：机构编制部门核定批复的部门（单位）的人员编制数。</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“三公经费”变动率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1</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“三公经费”变动率</w:t>
            </w:r>
            <w:r>
              <w:rPr>
                <w:rFonts w:hint="eastAsia" w:ascii="宋体" w:hAnsi="宋体" w:cs="宋体"/>
                <w:sz w:val="18"/>
                <w:szCs w:val="18"/>
              </w:rPr>
              <w:t>≦</w:t>
            </w:r>
            <w:r>
              <w:rPr>
                <w:sz w:val="18"/>
                <w:szCs w:val="18"/>
              </w:rPr>
              <w:t>0,计</w:t>
            </w:r>
            <w:r>
              <w:rPr>
                <w:rFonts w:hint="eastAsia"/>
                <w:sz w:val="18"/>
                <w:szCs w:val="18"/>
              </w:rPr>
              <w:t>1</w:t>
            </w:r>
            <w:r>
              <w:rPr>
                <w:sz w:val="18"/>
                <w:szCs w:val="18"/>
              </w:rPr>
              <w:t>分；“三公经费”＞0，每超过一个百分点扣0.</w:t>
            </w:r>
            <w:r>
              <w:rPr>
                <w:rFonts w:hint="eastAsia"/>
                <w:sz w:val="18"/>
                <w:szCs w:val="18"/>
              </w:rPr>
              <w:t>5</w:t>
            </w:r>
            <w:r>
              <w:rPr>
                <w:sz w:val="18"/>
                <w:szCs w:val="18"/>
              </w:rPr>
              <w:t>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 xml:space="preserve">“三公经费”变动率=[（本年度“三公经费”预算数-上年度“三公经费”预算数）/上年度“三公经费”预算数]×100% </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重点支出安排率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部门本年度预算安排的重点项目与部门项目总支出的比率，用以反映和考核部门对履行主要职责或完成重点任务的保障程度</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5"/>
                <w:szCs w:val="15"/>
              </w:rPr>
              <w:t>“</w:t>
            </w:r>
            <w:r>
              <w:rPr>
                <w:rFonts w:hint="eastAsia"/>
                <w:sz w:val="15"/>
                <w:szCs w:val="15"/>
              </w:rPr>
              <w:t>重点支出安排率</w:t>
            </w:r>
            <w:r>
              <w:rPr>
                <w:sz w:val="15"/>
                <w:szCs w:val="15"/>
              </w:rPr>
              <w:t>”=[（</w:t>
            </w:r>
            <w:r>
              <w:rPr>
                <w:rFonts w:hint="eastAsia"/>
                <w:sz w:val="15"/>
                <w:szCs w:val="15"/>
              </w:rPr>
              <w:t>重点项目支出</w:t>
            </w:r>
            <w:r>
              <w:rPr>
                <w:sz w:val="15"/>
                <w:szCs w:val="15"/>
              </w:rPr>
              <w:t>/</w:t>
            </w:r>
            <w:r>
              <w:rPr>
                <w:rFonts w:hint="eastAsia"/>
                <w:sz w:val="15"/>
                <w:szCs w:val="15"/>
              </w:rPr>
              <w:t>项目总支出</w:t>
            </w:r>
            <w:r>
              <w:rPr>
                <w:sz w:val="15"/>
                <w:szCs w:val="15"/>
              </w:rPr>
              <w:t>]×100%</w:t>
            </w:r>
            <w:r>
              <w:rPr>
                <w:rFonts w:hint="eastAsia"/>
                <w:sz w:val="15"/>
                <w:szCs w:val="15"/>
              </w:rPr>
              <w:t>。重点项目支出:部门年度预算安排的与本部门履职和发展密切相关、具有明显社会和经济影响、党委政府关心或社会比较关注的项目支出总额。项目总支出:部门年度预算安排的项目支出总额。</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过                                                                                                                                       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30</w:t>
            </w:r>
            <w:r>
              <w:rPr>
                <w:sz w:val="18"/>
                <w:szCs w:val="18"/>
              </w:rPr>
              <w:t>分</w:t>
            </w: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预算执行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15</w:t>
            </w:r>
            <w:r>
              <w:rPr>
                <w:sz w:val="18"/>
                <w:szCs w:val="18"/>
              </w:rPr>
              <w:t>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预算完成率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98</w:t>
            </w:r>
            <w:r>
              <w:rPr>
                <w:sz w:val="18"/>
                <w:szCs w:val="18"/>
              </w:rPr>
              <w:t>%计满分，每低于5%扣</w:t>
            </w:r>
            <w:r>
              <w:rPr>
                <w:rFonts w:hint="eastAsia"/>
                <w:sz w:val="18"/>
                <w:szCs w:val="18"/>
              </w:rPr>
              <w:t>1</w:t>
            </w:r>
            <w:r>
              <w:rPr>
                <w:sz w:val="18"/>
                <w:szCs w:val="18"/>
              </w:rPr>
              <w:t>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color w:val="0000FF"/>
                <w:sz w:val="18"/>
                <w:szCs w:val="18"/>
              </w:rPr>
            </w:pPr>
            <w:r>
              <w:rPr>
                <w:color w:val="0000FF"/>
                <w:sz w:val="18"/>
                <w:szCs w:val="18"/>
              </w:rPr>
              <w:t>预算完成率=（上年结转+年初预算+本年追加预算-年末结余）/（上年结转+年初预算+本年追加预算）×100%。</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1</w:t>
            </w:r>
            <w:r>
              <w:rPr>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预算</w:t>
            </w:r>
            <w:r>
              <w:rPr>
                <w:rFonts w:hint="eastAsia"/>
                <w:sz w:val="18"/>
                <w:szCs w:val="18"/>
              </w:rPr>
              <w:t>调整</w:t>
            </w:r>
            <w:r>
              <w:rPr>
                <w:sz w:val="18"/>
                <w:szCs w:val="18"/>
              </w:rPr>
              <w:t>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预算</w:t>
            </w:r>
            <w:r>
              <w:rPr>
                <w:rFonts w:hint="eastAsia"/>
                <w:sz w:val="18"/>
                <w:szCs w:val="18"/>
              </w:rPr>
              <w:t>调整</w:t>
            </w:r>
            <w:r>
              <w:rPr>
                <w:sz w:val="18"/>
                <w:szCs w:val="18"/>
              </w:rPr>
              <w:t>率=0，计</w:t>
            </w:r>
            <w:r>
              <w:rPr>
                <w:rFonts w:hint="eastAsia"/>
                <w:sz w:val="18"/>
                <w:szCs w:val="18"/>
              </w:rPr>
              <w:t>2</w:t>
            </w:r>
            <w:r>
              <w:rPr>
                <w:sz w:val="18"/>
                <w:szCs w:val="18"/>
              </w:rPr>
              <w:t>分；0-10%（含），计</w:t>
            </w:r>
            <w:r>
              <w:rPr>
                <w:rFonts w:hint="eastAsia"/>
                <w:sz w:val="18"/>
                <w:szCs w:val="18"/>
              </w:rPr>
              <w:t>1.5</w:t>
            </w:r>
            <w:r>
              <w:rPr>
                <w:sz w:val="18"/>
                <w:szCs w:val="18"/>
              </w:rPr>
              <w:t>分；10-20%（含），计</w:t>
            </w:r>
            <w:r>
              <w:rPr>
                <w:rFonts w:hint="eastAsia"/>
                <w:sz w:val="18"/>
                <w:szCs w:val="18"/>
              </w:rPr>
              <w:t>1</w:t>
            </w:r>
            <w:r>
              <w:rPr>
                <w:sz w:val="18"/>
                <w:szCs w:val="18"/>
              </w:rPr>
              <w:t>分；20-30%（含），计</w:t>
            </w:r>
            <w:r>
              <w:rPr>
                <w:rFonts w:hint="eastAsia"/>
                <w:sz w:val="18"/>
                <w:szCs w:val="18"/>
              </w:rPr>
              <w:t>0.5</w:t>
            </w:r>
            <w:r>
              <w:rPr>
                <w:sz w:val="18"/>
                <w:szCs w:val="18"/>
              </w:rPr>
              <w:t>分；大于30%不得分。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color w:val="0000FF"/>
                <w:sz w:val="18"/>
                <w:szCs w:val="18"/>
              </w:rPr>
            </w:pPr>
            <w:r>
              <w:rPr>
                <w:color w:val="0000FF"/>
                <w:sz w:val="18"/>
                <w:szCs w:val="18"/>
              </w:rPr>
              <w:t>预算</w:t>
            </w:r>
            <w:r>
              <w:rPr>
                <w:rFonts w:hint="eastAsia"/>
                <w:color w:val="0000FF"/>
                <w:sz w:val="18"/>
                <w:szCs w:val="18"/>
              </w:rPr>
              <w:t>调整</w:t>
            </w:r>
            <w:r>
              <w:rPr>
                <w:color w:val="0000FF"/>
                <w:sz w:val="18"/>
                <w:szCs w:val="18"/>
              </w:rPr>
              <w:t>率=（</w:t>
            </w:r>
            <w:r>
              <w:rPr>
                <w:rFonts w:hint="eastAsia"/>
                <w:color w:val="0000FF"/>
                <w:sz w:val="18"/>
                <w:szCs w:val="18"/>
              </w:rPr>
              <w:t>预算调整数</w:t>
            </w:r>
            <w:r>
              <w:rPr>
                <w:color w:val="0000FF"/>
                <w:sz w:val="18"/>
                <w:szCs w:val="18"/>
              </w:rPr>
              <w:t>/预算</w:t>
            </w:r>
            <w:r>
              <w:rPr>
                <w:rFonts w:hint="eastAsia"/>
                <w:color w:val="0000FF"/>
                <w:sz w:val="18"/>
                <w:szCs w:val="18"/>
              </w:rPr>
              <w:t>数</w:t>
            </w:r>
            <w:r>
              <w:rPr>
                <w:color w:val="0000FF"/>
                <w:sz w:val="18"/>
                <w:szCs w:val="18"/>
              </w:rPr>
              <w:t>）×100%。</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　</w:t>
            </w: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支付进度率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1</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符合进度计满分，否则0分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支付进度率=[实际支付进度/既定支付进度]*100%。</w:t>
            </w:r>
          </w:p>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实际支付进度：部门在某一时点的支出预算执行总数与年度支出预算数的比率。既定支付进度：由部门在申报整体绩效目标时参照序时支付进度，前三年支付进度、同级部门平均支付进度水平等确定的，在某一时点应达到的支付进度（比率）。</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结余结转变动率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ascii="宋体" w:hAnsi="宋体" w:cs="宋体"/>
                <w:sz w:val="18"/>
                <w:szCs w:val="18"/>
              </w:rPr>
              <w:t>≦</w:t>
            </w:r>
            <w:r>
              <w:rPr>
                <w:rFonts w:hint="eastAsia"/>
                <w:sz w:val="18"/>
                <w:szCs w:val="18"/>
              </w:rPr>
              <w:t>0</w:t>
            </w:r>
            <w:r>
              <w:rPr>
                <w:sz w:val="18"/>
                <w:szCs w:val="18"/>
              </w:rPr>
              <w:t>，计</w:t>
            </w:r>
            <w:r>
              <w:rPr>
                <w:rFonts w:hint="eastAsia"/>
                <w:sz w:val="18"/>
                <w:szCs w:val="18"/>
              </w:rPr>
              <w:t>满</w:t>
            </w:r>
            <w:r>
              <w:rPr>
                <w:sz w:val="18"/>
                <w:szCs w:val="18"/>
              </w:rPr>
              <w:t>分；每超</w:t>
            </w:r>
            <w:r>
              <w:rPr>
                <w:rFonts w:hint="eastAsia"/>
                <w:sz w:val="18"/>
                <w:szCs w:val="18"/>
              </w:rPr>
              <w:t>出5%</w:t>
            </w:r>
            <w:r>
              <w:rPr>
                <w:sz w:val="18"/>
                <w:szCs w:val="18"/>
              </w:rPr>
              <w:t>扣</w:t>
            </w:r>
            <w:r>
              <w:rPr>
                <w:rFonts w:hint="eastAsia"/>
                <w:sz w:val="18"/>
                <w:szCs w:val="18"/>
              </w:rPr>
              <w:t>1</w:t>
            </w:r>
            <w:r>
              <w:rPr>
                <w:sz w:val="18"/>
                <w:szCs w:val="18"/>
              </w:rPr>
              <w:t>分，扣完为</w:t>
            </w:r>
            <w:r>
              <w:rPr>
                <w:rFonts w:hint="eastAsia"/>
                <w:sz w:val="18"/>
                <w:szCs w:val="18"/>
              </w:rPr>
              <w:t>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color w:val="0000FF"/>
                <w:sz w:val="18"/>
                <w:szCs w:val="18"/>
              </w:rPr>
              <w:t>结余结转变动率=[(本年度累计结余资金总额-上年度累计结转结余资金总额)/ 上年度累计结转结余资金</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公用经费控制率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3</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100%以下（含）计满分，每超出1%扣1分，扣完为止。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color w:val="0000FF"/>
                <w:sz w:val="18"/>
                <w:szCs w:val="18"/>
              </w:rPr>
              <w:t>公用经费控制率=（实际支出公用经费总额/预算安排公用经费总额）×100%。</w:t>
            </w:r>
            <w:r>
              <w:rPr>
                <w:color w:val="0000FF"/>
                <w:sz w:val="18"/>
                <w:szCs w:val="18"/>
              </w:rPr>
              <w:br w:type="textWrapping"/>
            </w:r>
            <w:r>
              <w:rPr>
                <w:color w:val="0000FF"/>
                <w:sz w:val="18"/>
                <w:szCs w:val="18"/>
              </w:rPr>
              <w:t>公用经费支出是指部门基本支出中的一般商品和服务支出。</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0</w:t>
            </w:r>
            <w:r>
              <w:rPr>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sz w:val="18"/>
                <w:szCs w:val="18"/>
              </w:rPr>
            </w:pPr>
            <w:r>
              <w:rPr>
                <w:sz w:val="18"/>
                <w:szCs w:val="18"/>
              </w:rPr>
              <w:t>“三公经费”控制率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100%以下（含）计满分，</w:t>
            </w:r>
            <w:r>
              <w:rPr>
                <w:rFonts w:hint="eastAsia"/>
                <w:sz w:val="18"/>
                <w:szCs w:val="18"/>
              </w:rPr>
              <w:t>否则计0分。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“三公经费”控制率-（“三公经费”实际支出数/“三公经费”预算安排数）×100%。</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　</w:t>
            </w: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tcPr>
          <w:p>
            <w:pPr>
              <w:keepNext w:val="0"/>
              <w:keepLines w:val="0"/>
              <w:pageBreakBefore w:val="0"/>
              <w:widowControl/>
              <w:kinsoku/>
              <w:wordWrap/>
              <w:overflowPunct/>
              <w:topLinePunct w:val="0"/>
              <w:autoSpaceDE/>
              <w:autoSpaceDN/>
              <w:bidi w:val="0"/>
              <w:adjustRightInd/>
              <w:snapToGrid/>
              <w:spacing w:line="320" w:lineRule="exact"/>
              <w:textAlignment w:val="auto"/>
              <w:rPr>
                <w:sz w:val="18"/>
                <w:szCs w:val="18"/>
              </w:rPr>
            </w:pPr>
            <w:r>
              <w:rPr>
                <w:sz w:val="18"/>
                <w:szCs w:val="18"/>
              </w:rPr>
              <w:t>政府采购</w:t>
            </w:r>
            <w:r>
              <w:rPr>
                <w:rFonts w:hint="eastAsia"/>
                <w:sz w:val="18"/>
                <w:szCs w:val="18"/>
              </w:rPr>
              <w:t>节支</w:t>
            </w:r>
            <w:r>
              <w:rPr>
                <w:sz w:val="18"/>
                <w:szCs w:val="18"/>
              </w:rPr>
              <w:t>率</w:t>
            </w:r>
          </w:p>
        </w:tc>
        <w:tc>
          <w:tcPr>
            <w:tcW w:w="516"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1</w:t>
            </w:r>
          </w:p>
        </w:tc>
        <w:tc>
          <w:tcPr>
            <w:tcW w:w="3930" w:type="dxa"/>
            <w:gridSpan w:val="2"/>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＞0</w:t>
            </w:r>
            <w:r>
              <w:rPr>
                <w:rFonts w:hint="eastAsia"/>
                <w:sz w:val="18"/>
                <w:szCs w:val="18"/>
              </w:rPr>
              <w:t>，计满分，否则计0分</w:t>
            </w:r>
          </w:p>
        </w:tc>
        <w:tc>
          <w:tcPr>
            <w:tcW w:w="3450"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节资</w:t>
            </w:r>
            <w:r>
              <w:rPr>
                <w:sz w:val="18"/>
                <w:szCs w:val="18"/>
              </w:rPr>
              <w:t>率=（</w:t>
            </w:r>
            <w:r>
              <w:rPr>
                <w:rFonts w:hint="eastAsia"/>
                <w:sz w:val="18"/>
                <w:szCs w:val="18"/>
              </w:rPr>
              <w:t>预算资金-</w:t>
            </w:r>
            <w:r>
              <w:rPr>
                <w:sz w:val="18"/>
                <w:szCs w:val="18"/>
              </w:rPr>
              <w:t>实际政府采购金额/预算</w:t>
            </w:r>
            <w:r>
              <w:rPr>
                <w:rFonts w:hint="eastAsia"/>
                <w:sz w:val="18"/>
                <w:szCs w:val="18"/>
              </w:rPr>
              <w:t>资金</w:t>
            </w:r>
            <w:r>
              <w:rPr>
                <w:sz w:val="18"/>
                <w:szCs w:val="18"/>
              </w:rPr>
              <w:t>）×100%</w:t>
            </w:r>
          </w:p>
        </w:tc>
        <w:tc>
          <w:tcPr>
            <w:tcW w:w="691" w:type="dxa"/>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3"/>
                <w:szCs w:val="13"/>
              </w:rPr>
            </w:pPr>
            <w:r>
              <w:rPr>
                <w:rFonts w:hint="eastAsia"/>
                <w:sz w:val="13"/>
                <w:szCs w:val="13"/>
              </w:rPr>
              <w:t>政府采购执行率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等于100%计满分，每超过或降低5%扣0.5分，扣完为止。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sz w:val="18"/>
                <w:szCs w:val="18"/>
              </w:rPr>
              <w:t>政府采购执行率=（实际</w:t>
            </w:r>
            <w:r>
              <w:rPr>
                <w:rFonts w:hint="eastAsia"/>
                <w:sz w:val="18"/>
                <w:szCs w:val="18"/>
              </w:rPr>
              <w:t>履约验收个数</w:t>
            </w:r>
            <w:r>
              <w:rPr>
                <w:sz w:val="18"/>
                <w:szCs w:val="18"/>
              </w:rPr>
              <w:t>/政府采购</w:t>
            </w:r>
            <w:r>
              <w:rPr>
                <w:rFonts w:hint="eastAsia"/>
                <w:sz w:val="18"/>
                <w:szCs w:val="18"/>
              </w:rPr>
              <w:t>政府采购个数</w:t>
            </w:r>
            <w:r>
              <w:rPr>
                <w:sz w:val="18"/>
                <w:szCs w:val="18"/>
              </w:rPr>
              <w:t>）×100%</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预算管理</w:t>
            </w: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r>
              <w:rPr>
                <w:rFonts w:hint="eastAsia"/>
                <w:sz w:val="18"/>
                <w:szCs w:val="18"/>
              </w:rPr>
              <w:t>10</w:t>
            </w:r>
            <w:r>
              <w:rPr>
                <w:sz w:val="18"/>
                <w:szCs w:val="18"/>
              </w:rPr>
              <w:t>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管理制度健全性</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w:t>
            </w:r>
            <w:r>
              <w:rPr>
                <w:sz w:val="18"/>
                <w:szCs w:val="18"/>
              </w:rPr>
              <w:t>有内部财务管理制度、会计核算制度等管理制度</w:t>
            </w:r>
            <w:r>
              <w:rPr>
                <w:rFonts w:hint="eastAsia"/>
                <w:sz w:val="18"/>
                <w:szCs w:val="18"/>
              </w:rPr>
              <w:t>；(2)</w:t>
            </w:r>
            <w:r>
              <w:rPr>
                <w:sz w:val="18"/>
                <w:szCs w:val="18"/>
              </w:rPr>
              <w:t>有本部门厉行节约制度</w:t>
            </w:r>
            <w:r>
              <w:rPr>
                <w:rFonts w:hint="eastAsia"/>
                <w:sz w:val="18"/>
                <w:szCs w:val="18"/>
              </w:rPr>
              <w:t>；(3)</w:t>
            </w:r>
            <w:r>
              <w:rPr>
                <w:sz w:val="18"/>
                <w:szCs w:val="18"/>
              </w:rPr>
              <w:t>相关管理制度合法、合规、完整；</w:t>
            </w:r>
            <w:r>
              <w:rPr>
                <w:rFonts w:hint="eastAsia"/>
                <w:sz w:val="18"/>
                <w:szCs w:val="18"/>
              </w:rPr>
              <w:t>（4）</w:t>
            </w:r>
            <w:r>
              <w:rPr>
                <w:sz w:val="18"/>
                <w:szCs w:val="18"/>
              </w:rPr>
              <w:t>相关管理制度得到有效执行。</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　</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456" w:type="dxa"/>
            <w:vMerge w:val="restart"/>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资金使用合规性</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4</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支出符合国家财政法规和财务管理制度规定以及有关专项资金管理办法的规定;（2</w:t>
            </w:r>
            <w:r>
              <w:rPr>
                <w:rFonts w:ascii="宋体" w:hAnsi="宋体" w:cs="宋体"/>
                <w:sz w:val="18"/>
                <w:szCs w:val="18"/>
              </w:rPr>
              <w:t>）</w:t>
            </w:r>
            <w:r>
              <w:rPr>
                <w:rFonts w:hint="eastAsia" w:ascii="宋体" w:hAnsi="宋体" w:cs="宋体"/>
                <w:sz w:val="18"/>
                <w:szCs w:val="18"/>
              </w:rPr>
              <w:t>资金拨付完整的审批程度和手续;(3)项目支出按规定经过评估论证;(4)支出符合部门预算批复的用途;(5)资金使用无截留、挤占、挪用、虚列支出等情况。以上情况每出现一例不符合要求的扣1分，扣完为止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预决算信息公开性</w:t>
            </w:r>
          </w:p>
        </w:tc>
        <w:tc>
          <w:tcPr>
            <w:tcW w:w="516" w:type="dxa"/>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2</w:t>
            </w:r>
          </w:p>
        </w:tc>
        <w:tc>
          <w:tcPr>
            <w:tcW w:w="3930" w:type="dxa"/>
            <w:gridSpan w:val="2"/>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ascii="宋体" w:hAnsi="宋体" w:cs="宋体"/>
                <w:sz w:val="18"/>
                <w:szCs w:val="18"/>
              </w:rPr>
              <w:t>①</w:t>
            </w:r>
            <w:r>
              <w:rPr>
                <w:sz w:val="18"/>
                <w:szCs w:val="18"/>
              </w:rPr>
              <w:t>按规定内容公开预决算信息，1分；</w:t>
            </w:r>
            <w:r>
              <w:rPr>
                <w:rFonts w:hint="eastAsia" w:ascii="宋体" w:hAnsi="宋体" w:cs="宋体"/>
                <w:sz w:val="18"/>
                <w:szCs w:val="18"/>
              </w:rPr>
              <w:t>②</w:t>
            </w:r>
            <w:r>
              <w:rPr>
                <w:sz w:val="18"/>
                <w:szCs w:val="18"/>
              </w:rPr>
              <w:t xml:space="preserve">按规定时限公开预决算信息，1分。 </w:t>
            </w:r>
          </w:p>
        </w:tc>
        <w:tc>
          <w:tcPr>
            <w:tcW w:w="3450" w:type="dxa"/>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预决算信息是指与部门预算、执行、决算、监督、绩效等管理相关的信息。</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　</w:t>
            </w: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基础信息完善性</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2</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w:t>
            </w:r>
            <w:r>
              <w:rPr>
                <w:sz w:val="18"/>
                <w:szCs w:val="18"/>
              </w:rPr>
              <w:t>基础数据信息和会计信息资料真实，1分；</w:t>
            </w:r>
            <w:r>
              <w:rPr>
                <w:rFonts w:hint="eastAsia"/>
                <w:sz w:val="18"/>
                <w:szCs w:val="18"/>
              </w:rPr>
              <w:t>（2）</w:t>
            </w:r>
            <w:r>
              <w:rPr>
                <w:sz w:val="18"/>
                <w:szCs w:val="18"/>
              </w:rPr>
              <w:t>基础数据信息和会计信息资料完整，</w:t>
            </w:r>
            <w:r>
              <w:rPr>
                <w:rFonts w:hint="eastAsia"/>
                <w:sz w:val="18"/>
                <w:szCs w:val="18"/>
              </w:rPr>
              <w:t>0.5</w:t>
            </w:r>
            <w:r>
              <w:rPr>
                <w:sz w:val="18"/>
                <w:szCs w:val="18"/>
              </w:rPr>
              <w:t>分；</w:t>
            </w:r>
            <w:r>
              <w:rPr>
                <w:rFonts w:hint="eastAsia"/>
                <w:sz w:val="18"/>
                <w:szCs w:val="18"/>
              </w:rPr>
              <w:t>(3)</w:t>
            </w:r>
            <w:r>
              <w:rPr>
                <w:sz w:val="18"/>
                <w:szCs w:val="18"/>
              </w:rPr>
              <w:t>基础数据信息和汇集信息资料准确，</w:t>
            </w:r>
            <w:r>
              <w:rPr>
                <w:rFonts w:hint="eastAsia"/>
                <w:sz w:val="18"/>
                <w:szCs w:val="18"/>
              </w:rPr>
              <w:t>0.5</w:t>
            </w:r>
            <w:r>
              <w:rPr>
                <w:sz w:val="18"/>
                <w:szCs w:val="18"/>
              </w:rPr>
              <w:t xml:space="preserve">分。  </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资产管理5分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管理制度健全性</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
                <w:sz w:val="18"/>
                <w:szCs w:val="18"/>
              </w:rPr>
            </w:pPr>
            <w:r>
              <w:rPr>
                <w:rFonts w:hint="eastAsia"/>
                <w:b/>
                <w:sz w:val="18"/>
                <w:szCs w:val="18"/>
              </w:rPr>
              <w:t>1</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18"/>
                <w:szCs w:val="18"/>
              </w:rPr>
            </w:pPr>
            <w:r>
              <w:rPr>
                <w:rFonts w:hint="eastAsia"/>
                <w:sz w:val="18"/>
                <w:szCs w:val="18"/>
              </w:rPr>
              <w:t>（1）已制定或具有资产管理</w:t>
            </w:r>
            <w:r>
              <w:rPr>
                <w:sz w:val="18"/>
                <w:szCs w:val="18"/>
              </w:rPr>
              <w:t>制度</w:t>
            </w:r>
            <w:r>
              <w:rPr>
                <w:rFonts w:hint="eastAsia"/>
                <w:sz w:val="18"/>
                <w:szCs w:val="18"/>
              </w:rPr>
              <w:t>，计0.3分；(2)相关资产管理制度是否合法、合规、完整,计0.2分;(3)</w:t>
            </w:r>
            <w:r>
              <w:rPr>
                <w:rFonts w:hint="eastAsia" w:ascii="宋体" w:hAnsi="宋体" w:cs="宋体"/>
                <w:sz w:val="18"/>
                <w:szCs w:val="18"/>
              </w:rPr>
              <w:t>相关资产管理制度是否得到有效</w:t>
            </w:r>
            <w:r>
              <w:rPr>
                <w:sz w:val="18"/>
                <w:szCs w:val="18"/>
              </w:rPr>
              <w:t>执行</w:t>
            </w:r>
            <w:r>
              <w:rPr>
                <w:rFonts w:hint="eastAsia"/>
                <w:sz w:val="18"/>
                <w:szCs w:val="18"/>
              </w:rPr>
              <w:t>,计0.5分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资产管理安全性</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b/>
                <w:sz w:val="18"/>
                <w:szCs w:val="18"/>
              </w:rPr>
            </w:pPr>
            <w:r>
              <w:rPr>
                <w:rFonts w:hint="eastAsia"/>
                <w:b/>
                <w:sz w:val="18"/>
                <w:szCs w:val="18"/>
              </w:rPr>
              <w:t>3</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18"/>
                <w:szCs w:val="18"/>
              </w:rPr>
            </w:pPr>
            <w:r>
              <w:rPr>
                <w:rFonts w:hint="eastAsia"/>
                <w:sz w:val="18"/>
                <w:szCs w:val="18"/>
              </w:rPr>
              <w:t>(1)资产保存完整,计1分;(2)资产配置合理,符合省定标准计0.5分;(3)资产处置规范,计0.5分;(4)资产财务管理合规,账实相符,计0.5分;(5)资产有偿使用及处置收入及时足额上缴,计0.5分.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固定资产利用率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ind w:left="360"/>
              <w:textAlignment w:val="auto"/>
              <w:rPr>
                <w:b/>
                <w:sz w:val="18"/>
                <w:szCs w:val="18"/>
              </w:rPr>
            </w:pPr>
            <w:r>
              <w:rPr>
                <w:rFonts w:hint="eastAsia"/>
                <w:b/>
                <w:sz w:val="18"/>
                <w:szCs w:val="18"/>
              </w:rPr>
              <w:t>1</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18"/>
                <w:szCs w:val="18"/>
              </w:rPr>
            </w:pPr>
            <w:r>
              <w:rPr>
                <w:rFonts w:hint="eastAsia"/>
                <w:sz w:val="18"/>
                <w:szCs w:val="18"/>
              </w:rPr>
              <w:t>利用率为100%,计1分,每减少1%扣 0.2分,扣完为止。</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固定资产利用率=(实际在用固定资产总额/所有固定资产总额)</w:t>
            </w:r>
            <w:r>
              <w:rPr>
                <w:sz w:val="18"/>
                <w:szCs w:val="18"/>
              </w:rPr>
              <w:t xml:space="preserve"> ×</w:t>
            </w:r>
            <w:r>
              <w:rPr>
                <w:rFonts w:hint="eastAsia"/>
                <w:sz w:val="18"/>
                <w:szCs w:val="18"/>
              </w:rPr>
              <w:t>100%</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456" w:type="dxa"/>
            <w:vMerge w:val="restart"/>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r>
              <w:rPr>
                <w:rFonts w:hint="eastAsia"/>
                <w:sz w:val="18"/>
                <w:szCs w:val="18"/>
              </w:rPr>
              <w:t>产出30分</w:t>
            </w: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职责履行30分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实际完成率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10</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100%以上(含)计10分；95%（含）-99%，计8分； 85%（含）-95%，计6分；70%（含）-85%，计5分；低于70%计0分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sz w:val="18"/>
                <w:szCs w:val="18"/>
              </w:rPr>
            </w:pPr>
            <w:r>
              <w:rPr>
                <w:rFonts w:hint="eastAsia"/>
                <w:sz w:val="18"/>
                <w:szCs w:val="18"/>
              </w:rPr>
              <w:t>实际完成率=(实际完成工作数/计划工作数) ×100%,实际完成工作数:一定时期(年度或规划期)内部门实际完成工作任务的数量。</w:t>
            </w:r>
          </w:p>
          <w:p>
            <w:pPr>
              <w:keepNext w:val="0"/>
              <w:keepLines w:val="0"/>
              <w:pageBreakBefore w:val="0"/>
              <w:widowControl/>
              <w:kinsoku/>
              <w:wordWrap/>
              <w:overflowPunct/>
              <w:topLinePunct w:val="0"/>
              <w:autoSpaceDE/>
              <w:autoSpaceDN/>
              <w:bidi w:val="0"/>
              <w:adjustRightInd/>
              <w:snapToGrid/>
              <w:spacing w:line="340" w:lineRule="exact"/>
              <w:textAlignment w:val="auto"/>
              <w:rPr>
                <w:sz w:val="18"/>
                <w:szCs w:val="18"/>
              </w:rPr>
            </w:pPr>
            <w:r>
              <w:rPr>
                <w:rFonts w:hint="eastAsia"/>
                <w:sz w:val="18"/>
                <w:szCs w:val="18"/>
              </w:rPr>
              <w:t>计划工作数工：部门整体绩效目标确定的一定时期（年度或规划期）内预计完成工作任务的数量。</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完成及时率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6</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100%以上(含)计6分；80%（含）-99%，计4分； 70%（含）-80%，计2分；低于70%计0分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完成及时率=(及时完成实际工作数/计划工作数) ×100%.</w:t>
            </w: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及时完成工作数：部门按照整体绩效目标确定的时限实际完成工作任务数量。</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质量达标率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6</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100%以上(含)计6分；80%（含）-99%，计4分； 70%（含）-80%，计2分；低于70%计0分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质量达标率=(质量达标实际工作数/计划工作数) ×100%.</w:t>
            </w: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质量达标实际工作数:一定时期(年度或规划期)内部门实际完成工作数中达到部门绩效目标要求（绩效标准值）的工作任务数量。</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重点工作办结率</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8</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根据市绩效办2019年对各部门为民办实事和部门重点工程与重点工作考核分数折算.该项得分(绩效办对应部分考核得分/该部分总分)×8</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重点工作办结率=(重点工作实际完成数/交办或下达数) ×100%</w:t>
            </w:r>
          </w:p>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重点工作昌指党委、政府、人大、相关部门交办或下达的工作任务。</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6" w:type="dxa"/>
            <w:vMerge w:val="restart"/>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r>
              <w:rPr>
                <w:rFonts w:hint="eastAsia"/>
                <w:sz w:val="18"/>
                <w:szCs w:val="18"/>
              </w:rPr>
              <w:t>效果30分</w:t>
            </w:r>
          </w:p>
        </w:tc>
        <w:tc>
          <w:tcPr>
            <w:tcW w:w="45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履职 效益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30</w:t>
            </w:r>
            <w:r>
              <w:rPr>
                <w:sz w:val="18"/>
                <w:szCs w:val="18"/>
              </w:rPr>
              <w:t>分</w:t>
            </w: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经济效益</w:t>
            </w:r>
          </w:p>
        </w:tc>
        <w:tc>
          <w:tcPr>
            <w:tcW w:w="5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1</w:t>
            </w:r>
            <w:r>
              <w:rPr>
                <w:rFonts w:hint="eastAsia"/>
                <w:sz w:val="18"/>
                <w:szCs w:val="18"/>
              </w:rPr>
              <w:t>5</w:t>
            </w:r>
          </w:p>
        </w:tc>
        <w:tc>
          <w:tcPr>
            <w:tcW w:w="7380"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此</w:t>
            </w:r>
            <w:r>
              <w:rPr>
                <w:rFonts w:hint="eastAsia"/>
                <w:sz w:val="18"/>
                <w:szCs w:val="18"/>
              </w:rPr>
              <w:t>三</w:t>
            </w:r>
            <w:r>
              <w:rPr>
                <w:sz w:val="18"/>
                <w:szCs w:val="18"/>
              </w:rPr>
              <w:t>项指标为设置部门整体支出绩效评价指标时必须考虑的共性要素，可根据部门实际情况有选择的进行设置，并将其细化为相应的个性化指标。</w:t>
            </w:r>
          </w:p>
        </w:tc>
        <w:tc>
          <w:tcPr>
            <w:tcW w:w="69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　</w:t>
            </w:r>
            <w:r>
              <w:rPr>
                <w:rFonts w:hint="eastAsia"/>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社会效益</w:t>
            </w:r>
          </w:p>
        </w:tc>
        <w:tc>
          <w:tcPr>
            <w:tcW w:w="51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380" w:type="dxa"/>
            <w:gridSpan w:val="3"/>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69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生态效益</w:t>
            </w:r>
          </w:p>
        </w:tc>
        <w:tc>
          <w:tcPr>
            <w:tcW w:w="51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380" w:type="dxa"/>
            <w:gridSpan w:val="3"/>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69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行政效能</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sz w:val="18"/>
                <w:szCs w:val="18"/>
              </w:rPr>
              <w:t>6</w:t>
            </w:r>
          </w:p>
        </w:tc>
        <w:tc>
          <w:tcPr>
            <w:tcW w:w="246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促进部门改进</w:t>
            </w:r>
            <w:r>
              <w:rPr>
                <w:rFonts w:hint="eastAsia"/>
                <w:sz w:val="18"/>
                <w:szCs w:val="18"/>
              </w:rPr>
              <w:t>工作作风</w:t>
            </w:r>
            <w:r>
              <w:rPr>
                <w:sz w:val="18"/>
                <w:szCs w:val="18"/>
              </w:rPr>
              <w:t>，加强资产</w:t>
            </w:r>
            <w:r>
              <w:rPr>
                <w:rFonts w:hint="eastAsia"/>
                <w:sz w:val="18"/>
                <w:szCs w:val="18"/>
              </w:rPr>
              <w:t>及资产</w:t>
            </w:r>
            <w:r>
              <w:rPr>
                <w:sz w:val="18"/>
                <w:szCs w:val="18"/>
              </w:rPr>
              <w:t>管理，推动提高</w:t>
            </w:r>
            <w:r>
              <w:rPr>
                <w:rFonts w:hint="eastAsia"/>
                <w:sz w:val="18"/>
                <w:szCs w:val="18"/>
              </w:rPr>
              <w:t>增效</w:t>
            </w:r>
            <w:r>
              <w:rPr>
                <w:sz w:val="18"/>
                <w:szCs w:val="18"/>
              </w:rPr>
              <w:t>，降低</w:t>
            </w:r>
            <w:r>
              <w:rPr>
                <w:rFonts w:hint="eastAsia"/>
                <w:sz w:val="18"/>
                <w:szCs w:val="18"/>
              </w:rPr>
              <w:t>运行</w:t>
            </w:r>
            <w:r>
              <w:rPr>
                <w:sz w:val="18"/>
                <w:szCs w:val="18"/>
              </w:rPr>
              <w:t>成本</w:t>
            </w:r>
            <w:r>
              <w:rPr>
                <w:rFonts w:hint="eastAsia"/>
                <w:sz w:val="18"/>
                <w:szCs w:val="18"/>
              </w:rPr>
              <w:t>，</w:t>
            </w:r>
            <w:r>
              <w:rPr>
                <w:sz w:val="18"/>
                <w:szCs w:val="18"/>
              </w:rPr>
              <w:t>效果较好的计6分；一般3分；无效果或者效果不明显0分。</w:t>
            </w:r>
          </w:p>
        </w:tc>
        <w:tc>
          <w:tcPr>
            <w:tcW w:w="492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rFonts w:hint="eastAsia"/>
                <w:sz w:val="18"/>
                <w:szCs w:val="18"/>
              </w:rPr>
              <w:t>6</w:t>
            </w:r>
            <w:r>
              <w:rPr>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456"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sz w:val="18"/>
                <w:szCs w:val="18"/>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社会公众或服务对象满意度</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sz w:val="18"/>
                <w:szCs w:val="18"/>
              </w:rPr>
            </w:pPr>
            <w:r>
              <w:rPr>
                <w:rFonts w:hint="eastAsia"/>
                <w:sz w:val="18"/>
                <w:szCs w:val="18"/>
              </w:rPr>
              <w:t>9</w:t>
            </w:r>
          </w:p>
        </w:tc>
        <w:tc>
          <w:tcPr>
            <w:tcW w:w="393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90%（含）以上计6分；</w:t>
            </w:r>
            <w:r>
              <w:rPr>
                <w:sz w:val="18"/>
                <w:szCs w:val="18"/>
              </w:rPr>
              <w:br w:type="textWrapping"/>
            </w:r>
            <w:r>
              <w:rPr>
                <w:sz w:val="18"/>
                <w:szCs w:val="18"/>
              </w:rPr>
              <w:t>80%（含）-90%，计4分；</w:t>
            </w:r>
            <w:r>
              <w:rPr>
                <w:sz w:val="18"/>
                <w:szCs w:val="18"/>
              </w:rPr>
              <w:br w:type="textWrapping"/>
            </w:r>
            <w:r>
              <w:rPr>
                <w:sz w:val="18"/>
                <w:szCs w:val="18"/>
              </w:rPr>
              <w:t>70%（含）-80%，计2分；</w:t>
            </w:r>
            <w:r>
              <w:rPr>
                <w:sz w:val="18"/>
                <w:szCs w:val="18"/>
              </w:rPr>
              <w:br w:type="textWrapping"/>
            </w:r>
            <w:r>
              <w:rPr>
                <w:sz w:val="18"/>
                <w:szCs w:val="18"/>
              </w:rPr>
              <w:t>低于70%计0分。</w:t>
            </w:r>
          </w:p>
        </w:tc>
        <w:tc>
          <w:tcPr>
            <w:tcW w:w="345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社会公众或服务对象是指部门（单位）履行职责而影响到的部门、群体或个人，一般采取社会调查的方式。</w:t>
            </w:r>
          </w:p>
        </w:tc>
        <w:tc>
          <w:tcPr>
            <w:tcW w:w="69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sz w:val="18"/>
                <w:szCs w:val="18"/>
              </w:rPr>
            </w:pPr>
            <w:r>
              <w:rPr>
                <w:sz w:val="18"/>
                <w:szCs w:val="18"/>
              </w:rPr>
              <w:t>　</w:t>
            </w:r>
            <w:r>
              <w:rPr>
                <w:rFonts w:hint="eastAsia"/>
                <w:sz w:val="18"/>
                <w:szCs w:val="18"/>
              </w:rPr>
              <w:t>9</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sz w:val="18"/>
          <w:szCs w:val="18"/>
        </w:rPr>
      </w:pPr>
    </w:p>
    <w:p>
      <w:pPr>
        <w:spacing w:line="560" w:lineRule="exact"/>
        <w:jc w:val="center"/>
        <w:rPr>
          <w:rFonts w:asciiTheme="majorEastAsia" w:hAnsiTheme="majorEastAsia" w:eastAsiaTheme="majorEastAsia"/>
          <w:b/>
          <w:kern w:val="0"/>
          <w:sz w:val="32"/>
          <w:szCs w:val="32"/>
        </w:rPr>
      </w:pPr>
      <w:r>
        <w:rPr>
          <w:sz w:val="18"/>
          <w:szCs w:val="18"/>
        </w:rPr>
        <w:br w:type="page"/>
      </w:r>
      <w:r>
        <w:rPr>
          <w:rFonts w:asciiTheme="majorEastAsia" w:hAnsiTheme="majorEastAsia" w:eastAsiaTheme="majorEastAsia"/>
          <w:b/>
          <w:kern w:val="0"/>
          <w:sz w:val="32"/>
          <w:szCs w:val="32"/>
        </w:rPr>
        <w:t>部门</w:t>
      </w:r>
      <w:r>
        <w:rPr>
          <w:rFonts w:hint="eastAsia" w:asciiTheme="majorEastAsia" w:hAnsiTheme="majorEastAsia" w:eastAsiaTheme="majorEastAsia"/>
          <w:b/>
          <w:kern w:val="0"/>
          <w:sz w:val="32"/>
          <w:szCs w:val="32"/>
        </w:rPr>
        <w:t>整体</w:t>
      </w:r>
      <w:r>
        <w:rPr>
          <w:rFonts w:asciiTheme="majorEastAsia" w:hAnsiTheme="majorEastAsia" w:eastAsiaTheme="majorEastAsia"/>
          <w:b/>
          <w:kern w:val="0"/>
          <w:sz w:val="32"/>
          <w:szCs w:val="32"/>
        </w:rPr>
        <w:t>支出绩效评价基础数据表</w:t>
      </w:r>
    </w:p>
    <w:p>
      <w:pPr>
        <w:widowControl/>
        <w:tabs>
          <w:tab w:val="left" w:pos="3611"/>
          <w:tab w:val="left" w:pos="4791"/>
          <w:tab w:val="left" w:pos="5951"/>
          <w:tab w:val="left" w:pos="7071"/>
          <w:tab w:val="left" w:pos="8191"/>
          <w:tab w:val="left" w:pos="9311"/>
        </w:tabs>
        <w:ind w:left="91"/>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填报单位</w:t>
      </w:r>
      <w:r>
        <w:rPr>
          <w:rFonts w:hint="eastAsia" w:asciiTheme="majorEastAsia" w:hAnsiTheme="majorEastAsia" w:eastAsiaTheme="majorEastAsia"/>
          <w:kern w:val="0"/>
          <w:sz w:val="28"/>
          <w:szCs w:val="28"/>
          <w:lang w:eastAsia="zh-CN"/>
        </w:rPr>
        <w:t>：市委统战部</w:t>
      </w:r>
      <w:r>
        <w:rPr>
          <w:rFonts w:asciiTheme="majorEastAsia" w:hAnsiTheme="majorEastAsia" w:eastAsiaTheme="majorEastAsia"/>
          <w:kern w:val="0"/>
          <w:sz w:val="28"/>
          <w:szCs w:val="28"/>
        </w:rPr>
        <w:tab/>
      </w:r>
      <w:r>
        <w:rPr>
          <w:rFonts w:asciiTheme="majorEastAsia" w:hAnsiTheme="majorEastAsia" w:eastAsiaTheme="majorEastAsia"/>
          <w:kern w:val="0"/>
          <w:sz w:val="28"/>
          <w:szCs w:val="28"/>
        </w:rPr>
        <w:tab/>
      </w:r>
      <w:r>
        <w:rPr>
          <w:rFonts w:asciiTheme="majorEastAsia" w:hAnsiTheme="majorEastAsia" w:eastAsiaTheme="majorEastAsia"/>
          <w:kern w:val="0"/>
          <w:sz w:val="28"/>
          <w:szCs w:val="28"/>
        </w:rPr>
        <w:tab/>
      </w:r>
      <w:r>
        <w:rPr>
          <w:rFonts w:asciiTheme="majorEastAsia" w:hAnsiTheme="majorEastAsia" w:eastAsiaTheme="majorEastAsia"/>
          <w:kern w:val="0"/>
          <w:sz w:val="28"/>
          <w:szCs w:val="28"/>
        </w:rPr>
        <w:tab/>
      </w:r>
      <w:r>
        <w:rPr>
          <w:rFonts w:hint="eastAsia" w:asciiTheme="majorEastAsia" w:hAnsiTheme="majorEastAsia" w:eastAsiaTheme="majorEastAsia"/>
          <w:kern w:val="0"/>
          <w:sz w:val="28"/>
          <w:szCs w:val="28"/>
        </w:rPr>
        <w:t>单位:万元</w:t>
      </w:r>
      <w:r>
        <w:rPr>
          <w:rFonts w:asciiTheme="majorEastAsia" w:hAnsiTheme="majorEastAsia" w:eastAsiaTheme="majorEastAsia"/>
          <w:kern w:val="0"/>
          <w:sz w:val="28"/>
          <w:szCs w:val="28"/>
        </w:rPr>
        <w:tab/>
      </w:r>
      <w:r>
        <w:rPr>
          <w:rFonts w:asciiTheme="majorEastAsia" w:hAnsiTheme="majorEastAsia" w:eastAsiaTheme="majorEastAsia"/>
          <w:kern w:val="0"/>
          <w:sz w:val="28"/>
          <w:szCs w:val="28"/>
        </w:rPr>
        <w:tab/>
      </w:r>
    </w:p>
    <w:tbl>
      <w:tblPr>
        <w:tblStyle w:val="10"/>
        <w:tblW w:w="9464" w:type="dxa"/>
        <w:jc w:val="center"/>
        <w:tblLayout w:type="fixed"/>
        <w:tblCellMar>
          <w:top w:w="0" w:type="dxa"/>
          <w:left w:w="0" w:type="dxa"/>
          <w:bottom w:w="0" w:type="dxa"/>
          <w:right w:w="0" w:type="dxa"/>
        </w:tblCellMar>
      </w:tblPr>
      <w:tblGrid>
        <w:gridCol w:w="3480"/>
        <w:gridCol w:w="1912"/>
        <w:gridCol w:w="2240"/>
        <w:gridCol w:w="1832"/>
      </w:tblGrid>
      <w:tr>
        <w:tblPrEx>
          <w:tblCellMar>
            <w:top w:w="0" w:type="dxa"/>
            <w:left w:w="0" w:type="dxa"/>
            <w:bottom w:w="0" w:type="dxa"/>
            <w:right w:w="0" w:type="dxa"/>
          </w:tblCellMar>
        </w:tblPrEx>
        <w:trPr>
          <w:trHeight w:val="796"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财政供养人员情况</w:t>
            </w:r>
          </w:p>
        </w:tc>
        <w:tc>
          <w:tcPr>
            <w:tcW w:w="1912"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sz w:val="28"/>
                <w:szCs w:val="28"/>
              </w:rPr>
            </w:pPr>
            <w:r>
              <w:rPr>
                <w:rFonts w:asciiTheme="majorEastAsia" w:hAnsiTheme="majorEastAsia" w:eastAsiaTheme="majorEastAsia"/>
                <w:b/>
                <w:bCs/>
                <w:kern w:val="0"/>
                <w:sz w:val="28"/>
                <w:szCs w:val="28"/>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sz w:val="28"/>
                <w:szCs w:val="28"/>
              </w:rPr>
            </w:pPr>
            <w:r>
              <w:rPr>
                <w:rFonts w:asciiTheme="majorEastAsia" w:hAnsiTheme="majorEastAsia" w:eastAsiaTheme="majorEastAsia"/>
                <w:b/>
                <w:bCs/>
                <w:spacing w:val="-34"/>
                <w:kern w:val="0"/>
                <w:sz w:val="28"/>
                <w:szCs w:val="28"/>
              </w:rPr>
              <w:t>201</w:t>
            </w:r>
            <w:r>
              <w:rPr>
                <w:rFonts w:hint="eastAsia" w:asciiTheme="majorEastAsia" w:hAnsiTheme="majorEastAsia" w:eastAsiaTheme="majorEastAsia"/>
                <w:b/>
                <w:bCs/>
                <w:spacing w:val="-34"/>
                <w:kern w:val="0"/>
                <w:sz w:val="28"/>
                <w:szCs w:val="28"/>
              </w:rPr>
              <w:t>9</w:t>
            </w:r>
            <w:r>
              <w:rPr>
                <w:rFonts w:asciiTheme="majorEastAsia" w:hAnsiTheme="majorEastAsia" w:eastAsiaTheme="majorEastAsia"/>
                <w:b/>
                <w:bCs/>
                <w:spacing w:val="-34"/>
                <w:kern w:val="0"/>
                <w:sz w:val="28"/>
                <w:szCs w:val="28"/>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sz w:val="28"/>
                <w:szCs w:val="28"/>
              </w:rPr>
            </w:pPr>
            <w:r>
              <w:rPr>
                <w:rFonts w:asciiTheme="majorEastAsia" w:hAnsiTheme="majorEastAsia" w:eastAsiaTheme="majorEastAsia"/>
                <w:b/>
                <w:bCs/>
                <w:kern w:val="0"/>
                <w:sz w:val="28"/>
                <w:szCs w:val="28"/>
              </w:rPr>
              <w:t>控制率</w:t>
            </w:r>
          </w:p>
        </w:tc>
      </w:tr>
      <w:tr>
        <w:tblPrEx>
          <w:tblCellMar>
            <w:top w:w="0" w:type="dxa"/>
            <w:left w:w="0" w:type="dxa"/>
            <w:bottom w:w="0" w:type="dxa"/>
            <w:right w:w="0" w:type="dxa"/>
          </w:tblCellMar>
        </w:tblPrEx>
        <w:trPr>
          <w:trHeight w:val="206"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p>
        </w:tc>
        <w:tc>
          <w:tcPr>
            <w:tcW w:w="1912"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33</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30</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100%</w:t>
            </w:r>
            <w:r>
              <w:rPr>
                <w:rFonts w:asciiTheme="majorEastAsia" w:hAnsiTheme="majorEastAsia" w:eastAsiaTheme="majorEastAsia"/>
                <w:kern w:val="0"/>
                <w:sz w:val="28"/>
                <w:szCs w:val="28"/>
              </w:rPr>
              <w:t>　</w:t>
            </w:r>
          </w:p>
        </w:tc>
      </w:tr>
      <w:tr>
        <w:tblPrEx>
          <w:tblCellMar>
            <w:top w:w="0" w:type="dxa"/>
            <w:left w:w="0" w:type="dxa"/>
            <w:bottom w:w="0" w:type="dxa"/>
            <w:right w:w="0" w:type="dxa"/>
          </w:tblCellMar>
        </w:tblPrEx>
        <w:trPr>
          <w:trHeight w:val="465"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经费控制情况</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b/>
                <w:bCs/>
                <w:spacing w:val="-20"/>
                <w:kern w:val="0"/>
                <w:sz w:val="28"/>
                <w:szCs w:val="28"/>
              </w:rPr>
            </w:pPr>
            <w:r>
              <w:rPr>
                <w:rFonts w:asciiTheme="majorEastAsia" w:hAnsiTheme="majorEastAsia" w:eastAsiaTheme="majorEastAsia"/>
                <w:b/>
                <w:bCs/>
                <w:spacing w:val="-20"/>
                <w:kern w:val="0"/>
                <w:sz w:val="28"/>
                <w:szCs w:val="28"/>
              </w:rPr>
              <w:t>201</w:t>
            </w:r>
            <w:r>
              <w:rPr>
                <w:rFonts w:hint="eastAsia" w:asciiTheme="majorEastAsia" w:hAnsiTheme="majorEastAsia" w:eastAsiaTheme="majorEastAsia"/>
                <w:b/>
                <w:bCs/>
                <w:spacing w:val="-20"/>
                <w:kern w:val="0"/>
                <w:sz w:val="28"/>
                <w:szCs w:val="28"/>
              </w:rPr>
              <w:t>8</w:t>
            </w:r>
            <w:r>
              <w:rPr>
                <w:rFonts w:asciiTheme="majorEastAsia" w:hAnsiTheme="majorEastAsia" w:eastAsiaTheme="majorEastAsia"/>
                <w:b/>
                <w:bCs/>
                <w:spacing w:val="-20"/>
                <w:kern w:val="0"/>
                <w:sz w:val="28"/>
                <w:szCs w:val="28"/>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b/>
                <w:bCs/>
                <w:spacing w:val="-20"/>
                <w:kern w:val="0"/>
                <w:sz w:val="28"/>
                <w:szCs w:val="28"/>
              </w:rPr>
            </w:pPr>
            <w:r>
              <w:rPr>
                <w:rFonts w:asciiTheme="majorEastAsia" w:hAnsiTheme="majorEastAsia" w:eastAsiaTheme="majorEastAsia"/>
                <w:b/>
                <w:bCs/>
                <w:spacing w:val="-20"/>
                <w:kern w:val="0"/>
                <w:sz w:val="28"/>
                <w:szCs w:val="28"/>
              </w:rPr>
              <w:t>201</w:t>
            </w:r>
            <w:r>
              <w:rPr>
                <w:rFonts w:hint="eastAsia" w:asciiTheme="majorEastAsia" w:hAnsiTheme="majorEastAsia" w:eastAsiaTheme="majorEastAsia"/>
                <w:b/>
                <w:bCs/>
                <w:spacing w:val="-20"/>
                <w:kern w:val="0"/>
                <w:sz w:val="28"/>
                <w:szCs w:val="28"/>
              </w:rPr>
              <w:t>9</w:t>
            </w:r>
            <w:r>
              <w:rPr>
                <w:rFonts w:asciiTheme="majorEastAsia" w:hAnsiTheme="majorEastAsia" w:eastAsiaTheme="majorEastAsia"/>
                <w:b/>
                <w:bCs/>
                <w:spacing w:val="-20"/>
                <w:kern w:val="0"/>
                <w:sz w:val="28"/>
                <w:szCs w:val="28"/>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b/>
                <w:bCs/>
                <w:spacing w:val="-20"/>
                <w:kern w:val="0"/>
                <w:sz w:val="28"/>
                <w:szCs w:val="28"/>
              </w:rPr>
            </w:pPr>
            <w:r>
              <w:rPr>
                <w:rFonts w:asciiTheme="majorEastAsia" w:hAnsiTheme="majorEastAsia" w:eastAsiaTheme="majorEastAsia"/>
                <w:b/>
                <w:bCs/>
                <w:spacing w:val="-20"/>
                <w:kern w:val="0"/>
                <w:sz w:val="28"/>
                <w:szCs w:val="28"/>
              </w:rPr>
              <w:t>201</w:t>
            </w:r>
            <w:r>
              <w:rPr>
                <w:rFonts w:hint="eastAsia" w:asciiTheme="majorEastAsia" w:hAnsiTheme="majorEastAsia" w:eastAsiaTheme="majorEastAsia"/>
                <w:b/>
                <w:bCs/>
                <w:spacing w:val="-20"/>
                <w:kern w:val="0"/>
                <w:sz w:val="28"/>
                <w:szCs w:val="28"/>
              </w:rPr>
              <w:t>9</w:t>
            </w:r>
            <w:r>
              <w:rPr>
                <w:rFonts w:asciiTheme="majorEastAsia" w:hAnsiTheme="majorEastAsia" w:eastAsiaTheme="majorEastAsia"/>
                <w:b/>
                <w:bCs/>
                <w:spacing w:val="-20"/>
                <w:kern w:val="0"/>
                <w:sz w:val="28"/>
                <w:szCs w:val="28"/>
              </w:rPr>
              <w:t>年决算数</w:t>
            </w:r>
          </w:p>
        </w:tc>
      </w:tr>
      <w:tr>
        <w:tblPrEx>
          <w:tblCellMar>
            <w:top w:w="0" w:type="dxa"/>
            <w:left w:w="0" w:type="dxa"/>
            <w:bottom w:w="0" w:type="dxa"/>
            <w:right w:w="0" w:type="dxa"/>
          </w:tblCellMar>
        </w:tblPrEx>
        <w:trPr>
          <w:trHeight w:val="400"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一、部门基本支出</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549.48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424.64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591.78</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其中:</w:t>
            </w:r>
            <w:r>
              <w:rPr>
                <w:rFonts w:asciiTheme="majorEastAsia" w:hAnsiTheme="majorEastAsia" w:eastAsiaTheme="majorEastAsia"/>
                <w:kern w:val="0"/>
                <w:sz w:val="28"/>
                <w:szCs w:val="28"/>
              </w:rPr>
              <w:t>公用经费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111.22</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65.36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97.80</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其中：办公经费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9.87</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2.4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4.23</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水费、电费、差旅费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r>
              <w:rPr>
                <w:rFonts w:hint="eastAsia" w:asciiTheme="majorEastAsia" w:hAnsiTheme="majorEastAsia" w:eastAsiaTheme="majorEastAsia"/>
                <w:kern w:val="0"/>
                <w:sz w:val="28"/>
                <w:szCs w:val="28"/>
              </w:rPr>
              <w:t>16.68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4.48</w:t>
            </w: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3.66</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会议费、培训费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3.81</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6.66</w:t>
            </w: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0.66</w:t>
            </w:r>
          </w:p>
        </w:tc>
      </w:tr>
      <w:tr>
        <w:tblPrEx>
          <w:tblCellMar>
            <w:top w:w="0" w:type="dxa"/>
            <w:left w:w="0" w:type="dxa"/>
            <w:bottom w:w="0" w:type="dxa"/>
            <w:right w:w="0" w:type="dxa"/>
          </w:tblCellMar>
        </w:tblPrEx>
        <w:trPr>
          <w:trHeight w:val="313" w:hRule="atLeast"/>
          <w:jc w:val="center"/>
        </w:trPr>
        <w:tc>
          <w:tcPr>
            <w:tcW w:w="3480" w:type="dxa"/>
            <w:tcBorders>
              <w:top w:val="nil"/>
              <w:left w:val="single" w:color="auto" w:sz="4" w:space="0"/>
              <w:bottom w:val="single" w:color="auto" w:sz="4" w:space="0"/>
              <w:right w:val="single" w:color="auto" w:sz="4" w:space="0"/>
            </w:tcBorders>
            <w:vAlign w:val="center"/>
          </w:tcPr>
          <w:p>
            <w:pPr>
              <w:widowControl/>
              <w:ind w:firstLine="879" w:firstLineChars="300"/>
              <w:jc w:val="left"/>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80.86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51.82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89.25</w:t>
            </w:r>
          </w:p>
        </w:tc>
      </w:tr>
      <w:tr>
        <w:tblPrEx>
          <w:tblCellMar>
            <w:top w:w="0" w:type="dxa"/>
            <w:left w:w="0" w:type="dxa"/>
            <w:bottom w:w="0" w:type="dxa"/>
            <w:right w:w="0" w:type="dxa"/>
          </w:tblCellMar>
        </w:tblPrEx>
        <w:trPr>
          <w:trHeight w:val="400" w:hRule="atLeast"/>
          <w:jc w:val="center"/>
        </w:trPr>
        <w:tc>
          <w:tcPr>
            <w:tcW w:w="3480" w:type="dxa"/>
            <w:tcBorders>
              <w:top w:val="nil"/>
              <w:left w:val="single" w:color="auto" w:sz="4" w:space="0"/>
              <w:bottom w:val="single" w:color="auto" w:sz="4" w:space="0"/>
              <w:right w:val="single" w:color="auto" w:sz="4" w:space="0"/>
            </w:tcBorders>
            <w:vAlign w:val="center"/>
          </w:tcPr>
          <w:p>
            <w:pPr>
              <w:widowControl/>
              <w:ind w:firstLine="879" w:firstLineChars="300"/>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三公经费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11.47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16.20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13.06</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spacing w:val="-11"/>
                <w:kern w:val="0"/>
                <w:sz w:val="28"/>
                <w:szCs w:val="28"/>
              </w:rPr>
              <w:t>1、公务用车购置和维护经费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7.98</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8.00</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其中：公车购置</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公车运行维护</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7.98</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8.00</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2、出国经费</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0</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3、公务接待</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3.49</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8.20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5.06</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二、部门</w:t>
            </w:r>
            <w:r>
              <w:rPr>
                <w:rFonts w:asciiTheme="majorEastAsia" w:hAnsiTheme="majorEastAsia" w:eastAsiaTheme="majorEastAsia"/>
                <w:kern w:val="0"/>
                <w:sz w:val="28"/>
                <w:szCs w:val="28"/>
              </w:rPr>
              <w:t>项目支出：</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259</w:t>
            </w:r>
            <w:r>
              <w:rPr>
                <w:rFonts w:hint="eastAsia" w:asciiTheme="majorEastAsia" w:hAnsiTheme="majorEastAsia" w:eastAsiaTheme="majorEastAsia"/>
                <w:kern w:val="0"/>
                <w:sz w:val="28"/>
                <w:szCs w:val="28"/>
              </w:rPr>
              <w:t>.</w:t>
            </w:r>
            <w:r>
              <w:rPr>
                <w:rFonts w:asciiTheme="majorEastAsia" w:hAnsiTheme="majorEastAsia" w:eastAsiaTheme="majorEastAsia"/>
                <w:kern w:val="0"/>
                <w:sz w:val="28"/>
                <w:szCs w:val="28"/>
              </w:rPr>
              <w:t>6</w:t>
            </w:r>
            <w:r>
              <w:rPr>
                <w:rFonts w:hint="eastAsia" w:asciiTheme="majorEastAsia" w:hAnsiTheme="majorEastAsia" w:eastAsiaTheme="majorEastAsia"/>
                <w:kern w:val="0"/>
                <w:sz w:val="28"/>
                <w:szCs w:val="28"/>
              </w:rPr>
              <w:t>2</w:t>
            </w: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218</w:t>
            </w:r>
            <w:r>
              <w:rPr>
                <w:rFonts w:hint="eastAsia" w:asciiTheme="majorEastAsia" w:hAnsiTheme="majorEastAsia" w:eastAsiaTheme="majorEastAsia"/>
                <w:kern w:val="0"/>
                <w:sz w:val="28"/>
                <w:szCs w:val="28"/>
              </w:rPr>
              <w:t>.</w:t>
            </w:r>
            <w:r>
              <w:rPr>
                <w:rFonts w:asciiTheme="majorEastAsia" w:hAnsiTheme="majorEastAsia" w:eastAsiaTheme="majorEastAsia"/>
                <w:kern w:val="0"/>
                <w:sz w:val="28"/>
                <w:szCs w:val="28"/>
              </w:rPr>
              <w:t>5</w:t>
            </w:r>
            <w:r>
              <w:rPr>
                <w:rFonts w:hint="eastAsia" w:asciiTheme="majorEastAsia" w:hAnsiTheme="majorEastAsia" w:eastAsiaTheme="majorEastAsia"/>
                <w:kern w:val="0"/>
                <w:sz w:val="28"/>
                <w:szCs w:val="28"/>
              </w:rPr>
              <w:t>0</w:t>
            </w: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644</w:t>
            </w:r>
            <w:r>
              <w:rPr>
                <w:rFonts w:hint="eastAsia" w:asciiTheme="majorEastAsia" w:hAnsiTheme="majorEastAsia" w:eastAsiaTheme="majorEastAsia"/>
                <w:kern w:val="0"/>
                <w:sz w:val="28"/>
                <w:szCs w:val="28"/>
              </w:rPr>
              <w:t>.</w:t>
            </w:r>
            <w:r>
              <w:rPr>
                <w:rFonts w:asciiTheme="majorEastAsia" w:hAnsiTheme="majorEastAsia" w:eastAsiaTheme="majorEastAsia"/>
                <w:kern w:val="0"/>
                <w:sz w:val="28"/>
                <w:szCs w:val="28"/>
              </w:rPr>
              <w:t>5</w:t>
            </w:r>
            <w:r>
              <w:rPr>
                <w:rFonts w:hint="eastAsia" w:asciiTheme="majorEastAsia" w:hAnsiTheme="majorEastAsia" w:eastAsiaTheme="majorEastAsia"/>
                <w:kern w:val="0"/>
                <w:sz w:val="28"/>
                <w:szCs w:val="28"/>
              </w:rPr>
              <w:t>3</w:t>
            </w:r>
            <w:r>
              <w:rPr>
                <w:rFonts w:asciiTheme="majorEastAsia" w:hAnsiTheme="majorEastAsia" w:eastAsiaTheme="majorEastAsia"/>
                <w:kern w:val="0"/>
                <w:sz w:val="28"/>
                <w:szCs w:val="28"/>
              </w:rPr>
              <w:t>　</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1、业务工作专项</w:t>
            </w:r>
            <w:r>
              <w:rPr>
                <w:rFonts w:hint="eastAsia" w:asciiTheme="majorEastAsia" w:hAnsiTheme="majorEastAsia" w:eastAsiaTheme="majorEastAsia"/>
                <w:kern w:val="0"/>
                <w:sz w:val="28"/>
                <w:szCs w:val="28"/>
              </w:rPr>
              <w:t>(一个项目一行)</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 xml:space="preserve">  2、运行维护专项</w:t>
            </w:r>
            <w:r>
              <w:rPr>
                <w:rFonts w:hint="eastAsia" w:asciiTheme="majorEastAsia" w:hAnsiTheme="majorEastAsia" w:eastAsiaTheme="majorEastAsia"/>
                <w:kern w:val="0"/>
                <w:sz w:val="28"/>
                <w:szCs w:val="28"/>
              </w:rPr>
              <w:t>(一个项目一行)</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ind w:firstLine="293" w:firstLineChars="100"/>
              <w:jc w:val="left"/>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3、市级专项资金（一个专项一行）</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r>
              <w:rPr>
                <w:rFonts w:asciiTheme="majorEastAsia" w:hAnsiTheme="majorEastAsia" w:eastAsiaTheme="majorEastAsia"/>
                <w:kern w:val="0"/>
                <w:sz w:val="28"/>
                <w:szCs w:val="28"/>
              </w:rPr>
              <w:t>　</w:t>
            </w:r>
          </w:p>
        </w:tc>
      </w:tr>
      <w:tr>
        <w:tblPrEx>
          <w:tblCellMar>
            <w:top w:w="0" w:type="dxa"/>
            <w:left w:w="0" w:type="dxa"/>
            <w:bottom w:w="0" w:type="dxa"/>
            <w:right w:w="0" w:type="dxa"/>
          </w:tblCellMar>
        </w:tblPrEx>
        <w:trPr>
          <w:trHeight w:val="454" w:hRule="atLeast"/>
          <w:jc w:val="center"/>
        </w:trPr>
        <w:tc>
          <w:tcPr>
            <w:tcW w:w="3480" w:type="dxa"/>
            <w:tcBorders>
              <w:top w:val="nil"/>
              <w:left w:val="single" w:color="auto" w:sz="4" w:space="0"/>
              <w:bottom w:val="single" w:color="auto" w:sz="4" w:space="0"/>
              <w:right w:val="single" w:color="auto" w:sz="4" w:space="0"/>
            </w:tcBorders>
            <w:vAlign w:val="center"/>
          </w:tcPr>
          <w:p>
            <w:pPr>
              <w:widowControl/>
              <w:ind w:firstLine="293" w:firstLineChars="100"/>
              <w:jc w:val="left"/>
              <w:rPr>
                <w:rFonts w:asciiTheme="majorEastAsia" w:hAnsiTheme="majorEastAsia" w:eastAsiaTheme="majorEastAsia"/>
                <w:kern w:val="0"/>
                <w:sz w:val="28"/>
                <w:szCs w:val="28"/>
              </w:rPr>
            </w:pPr>
            <w:r>
              <w:rPr>
                <w:rFonts w:asciiTheme="majorEastAsia" w:hAnsiTheme="majorEastAsia" w:eastAsiaTheme="majorEastAsia"/>
                <w:kern w:val="0"/>
                <w:sz w:val="28"/>
                <w:szCs w:val="28"/>
              </w:rPr>
              <w:t>政府采购金额</w:t>
            </w:r>
          </w:p>
        </w:tc>
        <w:tc>
          <w:tcPr>
            <w:tcW w:w="191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r>
      <w:tr>
        <w:tblPrEx>
          <w:tblCellMar>
            <w:top w:w="0" w:type="dxa"/>
            <w:left w:w="0" w:type="dxa"/>
            <w:bottom w:w="0" w:type="dxa"/>
            <w:right w:w="0" w:type="dxa"/>
          </w:tblCellMar>
        </w:tblPrEx>
        <w:trPr>
          <w:trHeight w:val="664" w:hRule="atLeast"/>
          <w:jc w:val="center"/>
        </w:trPr>
        <w:tc>
          <w:tcPr>
            <w:tcW w:w="3480"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kern w:val="0"/>
                <w:sz w:val="28"/>
                <w:szCs w:val="28"/>
              </w:rPr>
            </w:pPr>
            <w:r>
              <w:rPr>
                <w:rFonts w:hint="eastAsia" w:asciiTheme="majorEastAsia" w:hAnsiTheme="majorEastAsia" w:eastAsiaTheme="majorEastAsia"/>
                <w:spacing w:val="-23"/>
                <w:kern w:val="0"/>
                <w:sz w:val="28"/>
                <w:szCs w:val="28"/>
              </w:rPr>
              <w:t>厉行节约保障措施等相关情况</w:t>
            </w:r>
          </w:p>
        </w:tc>
        <w:tc>
          <w:tcPr>
            <w:tcW w:w="5984" w:type="dxa"/>
            <w:gridSpan w:val="3"/>
            <w:tcBorders>
              <w:top w:val="single" w:color="auto" w:sz="4" w:space="0"/>
              <w:left w:val="nil"/>
              <w:bottom w:val="single" w:color="auto" w:sz="4" w:space="0"/>
              <w:right w:val="single" w:color="000000" w:sz="4" w:space="0"/>
            </w:tcBorders>
            <w:vAlign w:val="center"/>
          </w:tcPr>
          <w:p>
            <w:pPr>
              <w:widowControl/>
              <w:jc w:val="center"/>
              <w:rPr>
                <w:rFonts w:asciiTheme="majorEastAsia" w:hAnsiTheme="majorEastAsia" w:eastAsiaTheme="majorEastAsia"/>
                <w:kern w:val="0"/>
                <w:sz w:val="28"/>
                <w:szCs w:val="28"/>
              </w:rPr>
            </w:pPr>
          </w:p>
        </w:tc>
      </w:tr>
    </w:tbl>
    <w:p>
      <w:pPr>
        <w:widowControl/>
        <w:jc w:val="left"/>
        <w:rPr>
          <w:rFonts w:asciiTheme="majorEastAsia" w:hAnsiTheme="majorEastAsia" w:eastAsiaTheme="majorEastAsia"/>
          <w:b/>
          <w:color w:val="000000"/>
          <w:kern w:val="0"/>
          <w:sz w:val="28"/>
          <w:szCs w:val="28"/>
        </w:rPr>
      </w:pPr>
      <w:r>
        <w:rPr>
          <w:rFonts w:asciiTheme="majorEastAsia" w:hAnsiTheme="majorEastAsia" w:eastAsiaTheme="majorEastAsia"/>
          <w:kern w:val="0"/>
          <w:sz w:val="28"/>
          <w:szCs w:val="28"/>
        </w:rPr>
        <w:t>说明：“项目支出”需要填报基本支出以外的所有项目</w:t>
      </w:r>
      <w:r>
        <w:rPr>
          <w:rFonts w:hint="eastAsia" w:asciiTheme="majorEastAsia" w:hAnsiTheme="majorEastAsia" w:eastAsiaTheme="majorEastAsia"/>
          <w:kern w:val="0"/>
          <w:sz w:val="28"/>
          <w:szCs w:val="28"/>
        </w:rPr>
        <w:t>支出</w:t>
      </w:r>
      <w:r>
        <w:rPr>
          <w:rFonts w:asciiTheme="majorEastAsia" w:hAnsiTheme="majorEastAsia" w:eastAsiaTheme="majorEastAsia"/>
          <w:kern w:val="0"/>
          <w:sz w:val="28"/>
          <w:szCs w:val="28"/>
        </w:rPr>
        <w:t>情况，包括业务工作项目、运行维护项目</w:t>
      </w:r>
      <w:r>
        <w:rPr>
          <w:rFonts w:hint="eastAsia" w:asciiTheme="majorEastAsia" w:hAnsiTheme="majorEastAsia" w:eastAsiaTheme="majorEastAsia"/>
          <w:kern w:val="0"/>
          <w:sz w:val="28"/>
          <w:szCs w:val="28"/>
        </w:rPr>
        <w:t>和市级专项资金</w:t>
      </w:r>
      <w:r>
        <w:rPr>
          <w:rFonts w:asciiTheme="majorEastAsia" w:hAnsiTheme="majorEastAsia" w:eastAsiaTheme="majorEastAsia"/>
          <w:kern w:val="0"/>
          <w:sz w:val="28"/>
          <w:szCs w:val="28"/>
        </w:rPr>
        <w:t>等；“公用经费”填报基本支出中的一般商品和服务支出。</w:t>
      </w:r>
    </w:p>
    <w:sectPr>
      <w:footerReference r:id="rId6" w:type="first"/>
      <w:headerReference r:id="rId3" w:type="default"/>
      <w:footerReference r:id="rId4" w:type="default"/>
      <w:footerReference r:id="rId5" w:type="even"/>
      <w:pgSz w:w="11906" w:h="16838"/>
      <w:pgMar w:top="1440" w:right="1440" w:bottom="1440" w:left="1440" w:header="851" w:footer="964" w:gutter="0"/>
      <w:pgNumType w:fmt="numberInDash"/>
      <w:cols w:space="0" w:num="1"/>
      <w:docGrid w:type="linesAndChars" w:linePitch="448" w:charSpace="2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x0YFSsQEA&#10;AFkDAAAOAAAAAAAAAAEAIAAAAB4BAABkcnMvZTJvRG9jLnhtbFBLBQYAAAAABgAGAFkBAABBBQAA&#10;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posOffset>5494020</wp:posOffset>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20</w:t>
                          </w:r>
                          <w:r>
                            <w:rPr>
                              <w:rFonts w:hint="eastAsia"/>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left:432.6pt;margin-top:0pt;height:144pt;width:144pt;mso-position-horizontal-relative:margin;mso-wrap-style:none;z-index:251661312;mso-width-relative:page;mso-height-relative:page;" filled="f" stroked="f" coordsize="21600,21600" o:gfxdata="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5HX8HU&#10;AAAACQEAAA8AAAAAAAAAAQAgAAAAIgAAAGRycy9kb3ducmV2LnhtbFBLAQIUABQAAAAIAIdO4kBm&#10;ljVdsgEAAFkDAAAOAAAAAAAAAAEAIAAAACMBAABkcnMvZTJvRG9jLnhtbFBLBQYAAAAABgAGAFkB&#10;AABHBQAAAAA=&#10;">
              <v:fill on="f" focussize="0,0"/>
              <v:stroke on="f"/>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20</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7"/>
  <w:drawingGridVerticalSpacing w:val="224"/>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90"/>
    <w:rsid w:val="00006395"/>
    <w:rsid w:val="0001234F"/>
    <w:rsid w:val="00042163"/>
    <w:rsid w:val="00055F52"/>
    <w:rsid w:val="0006482F"/>
    <w:rsid w:val="000818DC"/>
    <w:rsid w:val="000A4BED"/>
    <w:rsid w:val="000B46F0"/>
    <w:rsid w:val="000C243D"/>
    <w:rsid w:val="000C3DE0"/>
    <w:rsid w:val="000F1993"/>
    <w:rsid w:val="000F64B2"/>
    <w:rsid w:val="00122E6A"/>
    <w:rsid w:val="001245FB"/>
    <w:rsid w:val="0013755A"/>
    <w:rsid w:val="00146803"/>
    <w:rsid w:val="001609FD"/>
    <w:rsid w:val="0017376D"/>
    <w:rsid w:val="00174C26"/>
    <w:rsid w:val="001869EB"/>
    <w:rsid w:val="00196DDD"/>
    <w:rsid w:val="001B262D"/>
    <w:rsid w:val="001C00BE"/>
    <w:rsid w:val="001D1E35"/>
    <w:rsid w:val="001E1776"/>
    <w:rsid w:val="001F356E"/>
    <w:rsid w:val="001F7A5D"/>
    <w:rsid w:val="00212863"/>
    <w:rsid w:val="0023578D"/>
    <w:rsid w:val="00243AD2"/>
    <w:rsid w:val="0025098B"/>
    <w:rsid w:val="00250B6C"/>
    <w:rsid w:val="002669DE"/>
    <w:rsid w:val="0027019D"/>
    <w:rsid w:val="002871BF"/>
    <w:rsid w:val="00291303"/>
    <w:rsid w:val="002938FA"/>
    <w:rsid w:val="00294444"/>
    <w:rsid w:val="002B1A04"/>
    <w:rsid w:val="002D01EF"/>
    <w:rsid w:val="002D252C"/>
    <w:rsid w:val="002D3C84"/>
    <w:rsid w:val="002D4176"/>
    <w:rsid w:val="002E10A2"/>
    <w:rsid w:val="002E64C1"/>
    <w:rsid w:val="002F3544"/>
    <w:rsid w:val="00307354"/>
    <w:rsid w:val="00307DF9"/>
    <w:rsid w:val="003129A8"/>
    <w:rsid w:val="00351D5C"/>
    <w:rsid w:val="003555B2"/>
    <w:rsid w:val="0035637D"/>
    <w:rsid w:val="003619B8"/>
    <w:rsid w:val="00370245"/>
    <w:rsid w:val="00377562"/>
    <w:rsid w:val="00393164"/>
    <w:rsid w:val="003D0C5B"/>
    <w:rsid w:val="00400061"/>
    <w:rsid w:val="004401B5"/>
    <w:rsid w:val="00464173"/>
    <w:rsid w:val="00484963"/>
    <w:rsid w:val="004B3D2C"/>
    <w:rsid w:val="004B79DB"/>
    <w:rsid w:val="004D7B79"/>
    <w:rsid w:val="00533851"/>
    <w:rsid w:val="00534F1B"/>
    <w:rsid w:val="00543E46"/>
    <w:rsid w:val="00545158"/>
    <w:rsid w:val="00546E82"/>
    <w:rsid w:val="00565766"/>
    <w:rsid w:val="00566BC0"/>
    <w:rsid w:val="005779B9"/>
    <w:rsid w:val="00590823"/>
    <w:rsid w:val="00596463"/>
    <w:rsid w:val="005A5865"/>
    <w:rsid w:val="005B6E55"/>
    <w:rsid w:val="005E4356"/>
    <w:rsid w:val="00610EF5"/>
    <w:rsid w:val="00622D96"/>
    <w:rsid w:val="00637B56"/>
    <w:rsid w:val="00685337"/>
    <w:rsid w:val="006A05AA"/>
    <w:rsid w:val="006A6BBB"/>
    <w:rsid w:val="00710853"/>
    <w:rsid w:val="00723B7D"/>
    <w:rsid w:val="007329F0"/>
    <w:rsid w:val="00733E79"/>
    <w:rsid w:val="007576FF"/>
    <w:rsid w:val="007624D3"/>
    <w:rsid w:val="007B0C5D"/>
    <w:rsid w:val="007C61C7"/>
    <w:rsid w:val="007D05D9"/>
    <w:rsid w:val="007D5D32"/>
    <w:rsid w:val="007E2ABB"/>
    <w:rsid w:val="007F49A0"/>
    <w:rsid w:val="00800CB4"/>
    <w:rsid w:val="00815243"/>
    <w:rsid w:val="008256E6"/>
    <w:rsid w:val="00844947"/>
    <w:rsid w:val="00854DEF"/>
    <w:rsid w:val="00871849"/>
    <w:rsid w:val="00883E1D"/>
    <w:rsid w:val="00886B49"/>
    <w:rsid w:val="0089666C"/>
    <w:rsid w:val="008A59FA"/>
    <w:rsid w:val="008C7854"/>
    <w:rsid w:val="008E229A"/>
    <w:rsid w:val="008F5974"/>
    <w:rsid w:val="008F6248"/>
    <w:rsid w:val="00907154"/>
    <w:rsid w:val="009174EC"/>
    <w:rsid w:val="00925427"/>
    <w:rsid w:val="0093595C"/>
    <w:rsid w:val="00936108"/>
    <w:rsid w:val="00954196"/>
    <w:rsid w:val="00974863"/>
    <w:rsid w:val="00974D3A"/>
    <w:rsid w:val="00990C39"/>
    <w:rsid w:val="009A4877"/>
    <w:rsid w:val="009B051D"/>
    <w:rsid w:val="009C4F53"/>
    <w:rsid w:val="009D6A13"/>
    <w:rsid w:val="009E2D08"/>
    <w:rsid w:val="00A05D59"/>
    <w:rsid w:val="00A21E6E"/>
    <w:rsid w:val="00A301F4"/>
    <w:rsid w:val="00A3697C"/>
    <w:rsid w:val="00A36A83"/>
    <w:rsid w:val="00A874DF"/>
    <w:rsid w:val="00A91087"/>
    <w:rsid w:val="00A915B0"/>
    <w:rsid w:val="00AB61C6"/>
    <w:rsid w:val="00AC7357"/>
    <w:rsid w:val="00AE03D0"/>
    <w:rsid w:val="00AE1E20"/>
    <w:rsid w:val="00B11AE8"/>
    <w:rsid w:val="00B1724D"/>
    <w:rsid w:val="00B17BBD"/>
    <w:rsid w:val="00B242EF"/>
    <w:rsid w:val="00B43577"/>
    <w:rsid w:val="00B71C23"/>
    <w:rsid w:val="00B872BB"/>
    <w:rsid w:val="00B954AF"/>
    <w:rsid w:val="00BA39B6"/>
    <w:rsid w:val="00BB0D25"/>
    <w:rsid w:val="00BB13BE"/>
    <w:rsid w:val="00BC6D5F"/>
    <w:rsid w:val="00BC6F83"/>
    <w:rsid w:val="00BD29F5"/>
    <w:rsid w:val="00BE4409"/>
    <w:rsid w:val="00BE459F"/>
    <w:rsid w:val="00BF319E"/>
    <w:rsid w:val="00C07DD7"/>
    <w:rsid w:val="00C61154"/>
    <w:rsid w:val="00C65488"/>
    <w:rsid w:val="00C67AC8"/>
    <w:rsid w:val="00C73320"/>
    <w:rsid w:val="00C75028"/>
    <w:rsid w:val="00C93D56"/>
    <w:rsid w:val="00CB6029"/>
    <w:rsid w:val="00CD113A"/>
    <w:rsid w:val="00CD2549"/>
    <w:rsid w:val="00CE5119"/>
    <w:rsid w:val="00CE7443"/>
    <w:rsid w:val="00D0624A"/>
    <w:rsid w:val="00D1073B"/>
    <w:rsid w:val="00D11590"/>
    <w:rsid w:val="00D250BB"/>
    <w:rsid w:val="00D339AB"/>
    <w:rsid w:val="00D3625E"/>
    <w:rsid w:val="00D427E0"/>
    <w:rsid w:val="00D4781A"/>
    <w:rsid w:val="00D61C37"/>
    <w:rsid w:val="00D63FA3"/>
    <w:rsid w:val="00D6648B"/>
    <w:rsid w:val="00D849D8"/>
    <w:rsid w:val="00D85D31"/>
    <w:rsid w:val="00D876ED"/>
    <w:rsid w:val="00DB4D8F"/>
    <w:rsid w:val="00DB6950"/>
    <w:rsid w:val="00DD01BE"/>
    <w:rsid w:val="00DD6F91"/>
    <w:rsid w:val="00DE30B2"/>
    <w:rsid w:val="00DF3071"/>
    <w:rsid w:val="00E0031D"/>
    <w:rsid w:val="00E247D3"/>
    <w:rsid w:val="00E269F8"/>
    <w:rsid w:val="00E279FD"/>
    <w:rsid w:val="00E33AF1"/>
    <w:rsid w:val="00E3552F"/>
    <w:rsid w:val="00E363DB"/>
    <w:rsid w:val="00E42812"/>
    <w:rsid w:val="00E57483"/>
    <w:rsid w:val="00E63763"/>
    <w:rsid w:val="00E73F35"/>
    <w:rsid w:val="00E82788"/>
    <w:rsid w:val="00EB17F9"/>
    <w:rsid w:val="00EB18AD"/>
    <w:rsid w:val="00EC3704"/>
    <w:rsid w:val="00EC3DBA"/>
    <w:rsid w:val="00EF6842"/>
    <w:rsid w:val="00F05EE1"/>
    <w:rsid w:val="00F07141"/>
    <w:rsid w:val="00F12DA3"/>
    <w:rsid w:val="00F20F1B"/>
    <w:rsid w:val="00F32BA6"/>
    <w:rsid w:val="00F61A59"/>
    <w:rsid w:val="00F6397E"/>
    <w:rsid w:val="00F63CAE"/>
    <w:rsid w:val="00F66781"/>
    <w:rsid w:val="00F74A92"/>
    <w:rsid w:val="00F85DA3"/>
    <w:rsid w:val="00F878E6"/>
    <w:rsid w:val="00F9152F"/>
    <w:rsid w:val="00F95773"/>
    <w:rsid w:val="00FA6A88"/>
    <w:rsid w:val="00FC08A4"/>
    <w:rsid w:val="00FC3B26"/>
    <w:rsid w:val="00FC5F3C"/>
    <w:rsid w:val="00FD3BCD"/>
    <w:rsid w:val="00FE10BE"/>
    <w:rsid w:val="00FF059B"/>
    <w:rsid w:val="01B336B0"/>
    <w:rsid w:val="025C6CF1"/>
    <w:rsid w:val="03402F0A"/>
    <w:rsid w:val="03F85DAC"/>
    <w:rsid w:val="05423F18"/>
    <w:rsid w:val="060A0C4A"/>
    <w:rsid w:val="06AF4E69"/>
    <w:rsid w:val="06F458F4"/>
    <w:rsid w:val="070B3496"/>
    <w:rsid w:val="08245758"/>
    <w:rsid w:val="082E6319"/>
    <w:rsid w:val="089D1AE0"/>
    <w:rsid w:val="08AA5905"/>
    <w:rsid w:val="09266F61"/>
    <w:rsid w:val="0A656E61"/>
    <w:rsid w:val="0AA417DF"/>
    <w:rsid w:val="0AD86099"/>
    <w:rsid w:val="0ADD3531"/>
    <w:rsid w:val="0BD655B2"/>
    <w:rsid w:val="0C451FD2"/>
    <w:rsid w:val="0C7750D9"/>
    <w:rsid w:val="0CD31A99"/>
    <w:rsid w:val="0D08530A"/>
    <w:rsid w:val="0DC56A32"/>
    <w:rsid w:val="0E453A5D"/>
    <w:rsid w:val="1212769B"/>
    <w:rsid w:val="12356351"/>
    <w:rsid w:val="12AB7132"/>
    <w:rsid w:val="13506D9A"/>
    <w:rsid w:val="13B00E2F"/>
    <w:rsid w:val="14F616FE"/>
    <w:rsid w:val="14FF4CB6"/>
    <w:rsid w:val="160F55EB"/>
    <w:rsid w:val="163F21F9"/>
    <w:rsid w:val="163F362E"/>
    <w:rsid w:val="181C2AF7"/>
    <w:rsid w:val="19EE6033"/>
    <w:rsid w:val="1AA76E9D"/>
    <w:rsid w:val="1B635471"/>
    <w:rsid w:val="1B6765A8"/>
    <w:rsid w:val="1BE73546"/>
    <w:rsid w:val="1EAF3D08"/>
    <w:rsid w:val="1F0E63A9"/>
    <w:rsid w:val="1F4D5149"/>
    <w:rsid w:val="1FF75FD8"/>
    <w:rsid w:val="201C60BC"/>
    <w:rsid w:val="21231342"/>
    <w:rsid w:val="24374B54"/>
    <w:rsid w:val="24387150"/>
    <w:rsid w:val="24F13FAC"/>
    <w:rsid w:val="25CA5C37"/>
    <w:rsid w:val="25FE6CED"/>
    <w:rsid w:val="268B2E8C"/>
    <w:rsid w:val="26F70202"/>
    <w:rsid w:val="27470D78"/>
    <w:rsid w:val="27B14FCF"/>
    <w:rsid w:val="27C111BE"/>
    <w:rsid w:val="2A386199"/>
    <w:rsid w:val="2B7E69F0"/>
    <w:rsid w:val="2C03606A"/>
    <w:rsid w:val="2C9061C6"/>
    <w:rsid w:val="2CD40EB6"/>
    <w:rsid w:val="2D7F4B03"/>
    <w:rsid w:val="2DE525E7"/>
    <w:rsid w:val="2FCA453A"/>
    <w:rsid w:val="301855EF"/>
    <w:rsid w:val="30AB1E4B"/>
    <w:rsid w:val="31381868"/>
    <w:rsid w:val="323F0DDD"/>
    <w:rsid w:val="333D6FDE"/>
    <w:rsid w:val="34132025"/>
    <w:rsid w:val="35D762C5"/>
    <w:rsid w:val="3666174D"/>
    <w:rsid w:val="3676597F"/>
    <w:rsid w:val="36873CEC"/>
    <w:rsid w:val="36A66FE8"/>
    <w:rsid w:val="37E120F3"/>
    <w:rsid w:val="387D182E"/>
    <w:rsid w:val="398A72A4"/>
    <w:rsid w:val="3A745593"/>
    <w:rsid w:val="3BE75453"/>
    <w:rsid w:val="3C03257A"/>
    <w:rsid w:val="3D9A1CF2"/>
    <w:rsid w:val="3ED66935"/>
    <w:rsid w:val="41057246"/>
    <w:rsid w:val="41A533A9"/>
    <w:rsid w:val="42BA3DF3"/>
    <w:rsid w:val="46234CA7"/>
    <w:rsid w:val="46283260"/>
    <w:rsid w:val="47316B88"/>
    <w:rsid w:val="473574A4"/>
    <w:rsid w:val="47F12A82"/>
    <w:rsid w:val="49213FC7"/>
    <w:rsid w:val="49D729BE"/>
    <w:rsid w:val="4B271DA6"/>
    <w:rsid w:val="4B8D34BD"/>
    <w:rsid w:val="4BBF560C"/>
    <w:rsid w:val="4CA527EC"/>
    <w:rsid w:val="4DDF2DF3"/>
    <w:rsid w:val="4E1F6225"/>
    <w:rsid w:val="4F1271B2"/>
    <w:rsid w:val="520E3331"/>
    <w:rsid w:val="525C2D06"/>
    <w:rsid w:val="52941A36"/>
    <w:rsid w:val="54190725"/>
    <w:rsid w:val="548A3744"/>
    <w:rsid w:val="56596876"/>
    <w:rsid w:val="567273B6"/>
    <w:rsid w:val="568D6962"/>
    <w:rsid w:val="58153551"/>
    <w:rsid w:val="5831425A"/>
    <w:rsid w:val="583C61FE"/>
    <w:rsid w:val="58CB282D"/>
    <w:rsid w:val="58E04F27"/>
    <w:rsid w:val="59D7383C"/>
    <w:rsid w:val="5B5566E9"/>
    <w:rsid w:val="5BE07BF6"/>
    <w:rsid w:val="5C9C5052"/>
    <w:rsid w:val="5D574054"/>
    <w:rsid w:val="5F565560"/>
    <w:rsid w:val="5FC13D38"/>
    <w:rsid w:val="60372345"/>
    <w:rsid w:val="60A349E9"/>
    <w:rsid w:val="613C2E61"/>
    <w:rsid w:val="63860DFA"/>
    <w:rsid w:val="63C26236"/>
    <w:rsid w:val="65262259"/>
    <w:rsid w:val="66346D3D"/>
    <w:rsid w:val="671560DB"/>
    <w:rsid w:val="67725EE5"/>
    <w:rsid w:val="6A1029C5"/>
    <w:rsid w:val="6A2E1C39"/>
    <w:rsid w:val="6B5C7957"/>
    <w:rsid w:val="6C205F8A"/>
    <w:rsid w:val="6C8E4563"/>
    <w:rsid w:val="6CB43C05"/>
    <w:rsid w:val="6DFC1C5F"/>
    <w:rsid w:val="6F1F747D"/>
    <w:rsid w:val="708C1B51"/>
    <w:rsid w:val="70E95C49"/>
    <w:rsid w:val="72327A13"/>
    <w:rsid w:val="72755103"/>
    <w:rsid w:val="72BD6548"/>
    <w:rsid w:val="74194F80"/>
    <w:rsid w:val="74754547"/>
    <w:rsid w:val="749C4489"/>
    <w:rsid w:val="754A786E"/>
    <w:rsid w:val="75791449"/>
    <w:rsid w:val="758B2CA5"/>
    <w:rsid w:val="782D48DB"/>
    <w:rsid w:val="7A215664"/>
    <w:rsid w:val="7A6D6D61"/>
    <w:rsid w:val="7B463DAD"/>
    <w:rsid w:val="7B8602A6"/>
    <w:rsid w:val="7BD44C50"/>
    <w:rsid w:val="7BFE1929"/>
    <w:rsid w:val="7C202FE2"/>
    <w:rsid w:val="7DB84C98"/>
    <w:rsid w:val="7DD445B0"/>
    <w:rsid w:val="7DD921E5"/>
    <w:rsid w:val="7DF30201"/>
    <w:rsid w:val="7E447393"/>
    <w:rsid w:val="7F280E66"/>
    <w:rsid w:val="7F50681D"/>
    <w:rsid w:val="7F835F69"/>
    <w:rsid w:val="7F9C5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宋体" w:cs="宋体"/>
      <w:sz w:val="21"/>
      <w:szCs w:val="21"/>
    </w:rPr>
  </w:style>
  <w:style w:type="paragraph" w:styleId="5">
    <w:name w:val="Date"/>
    <w:basedOn w:val="1"/>
    <w:next w:val="1"/>
    <w:link w:val="18"/>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paragraph" w:customStyle="1" w:styleId="13">
    <w:name w:val="Char Char Char Char Char Char1"/>
    <w:basedOn w:val="1"/>
    <w:qFormat/>
    <w:uiPriority w:val="0"/>
    <w:rPr>
      <w:rFonts w:ascii="Tahoma" w:hAnsi="Tahoma" w:eastAsia="宋体"/>
      <w:sz w:val="24"/>
      <w:szCs w:val="20"/>
    </w:rPr>
  </w:style>
  <w:style w:type="paragraph" w:customStyle="1" w:styleId="14">
    <w:name w:val="Char Char Char Char Char Char Char Char Char Char Char Char Char Char Char Char"/>
    <w:basedOn w:val="1"/>
    <w:qFormat/>
    <w:uiPriority w:val="0"/>
    <w:rPr>
      <w:rFonts w:eastAsia="宋体"/>
      <w:sz w:val="21"/>
      <w:szCs w:val="21"/>
    </w:rPr>
  </w:style>
  <w:style w:type="paragraph" w:customStyle="1" w:styleId="1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页脚 Char"/>
    <w:basedOn w:val="11"/>
    <w:link w:val="7"/>
    <w:qFormat/>
    <w:uiPriority w:val="99"/>
    <w:rPr>
      <w:rFonts w:eastAsia="仿宋_GB2312"/>
      <w:kern w:val="2"/>
      <w:sz w:val="18"/>
      <w:szCs w:val="18"/>
    </w:rPr>
  </w:style>
  <w:style w:type="character" w:customStyle="1" w:styleId="18">
    <w:name w:val="日期 Char"/>
    <w:basedOn w:val="11"/>
    <w:link w:val="5"/>
    <w:qFormat/>
    <w:uiPriority w:val="0"/>
    <w:rPr>
      <w:rFonts w:eastAsia="仿宋_GB2312"/>
      <w:kern w:val="2"/>
      <w:sz w:val="32"/>
      <w:szCs w:val="32"/>
    </w:rPr>
  </w:style>
  <w:style w:type="character" w:customStyle="1" w:styleId="19">
    <w:name w:val="纯文本 Char"/>
    <w:basedOn w:val="11"/>
    <w:link w:val="4"/>
    <w:qFormat/>
    <w:uiPriority w:val="0"/>
    <w:rPr>
      <w:rFonts w:ascii="宋体" w:hAnsi="Courier New" w:cs="宋体"/>
      <w:kern w:val="2"/>
      <w:sz w:val="21"/>
      <w:szCs w:val="21"/>
    </w:rPr>
  </w:style>
  <w:style w:type="paragraph" w:customStyle="1" w:styleId="20">
    <w:name w:val="列出段落1"/>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5E39F-8C2D-4441-B8F4-4BB7A0722B3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36</Pages>
  <Words>2795</Words>
  <Characters>15934</Characters>
  <Lines>132</Lines>
  <Paragraphs>37</Paragraphs>
  <TotalTime>41</TotalTime>
  <ScaleCrop>false</ScaleCrop>
  <LinksUpToDate>false</LinksUpToDate>
  <CharactersWithSpaces>18692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2020-09-23T15:11:00Z</dcterms:created>
  <dc:creator>T520i</dc:creator>
  <cp:lastModifiedBy>Administrator</cp:lastModifiedBy>
  <cp:lastPrinted>2020-09-16T07:38:00Z</cp:lastPrinted>
  <dcterms:modified xsi:type="dcterms:W3CDTF">2020-09-24T02:32:35Z</dcterms:modified>
  <dc:title>衡阳市财政局关于开展市本级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